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EF" w:rsidRPr="009C38EF" w:rsidRDefault="009C38EF" w:rsidP="009C38EF">
      <w:pPr>
        <w:jc w:val="center"/>
        <w:rPr>
          <w:rFonts w:ascii="宋体" w:eastAsia="宋体" w:hAnsi="宋体" w:hint="eastAsia"/>
          <w:b/>
          <w:sz w:val="36"/>
          <w:szCs w:val="36"/>
        </w:rPr>
      </w:pPr>
      <w:r w:rsidRPr="009C38EF">
        <w:rPr>
          <w:rFonts w:ascii="宋体" w:eastAsia="宋体" w:hAnsi="宋体" w:hint="eastAsia"/>
          <w:b/>
          <w:sz w:val="36"/>
          <w:szCs w:val="36"/>
        </w:rPr>
        <w:t>江油市中医医院</w:t>
      </w:r>
    </w:p>
    <w:p w:rsidR="009C38EF" w:rsidRPr="009C38EF" w:rsidRDefault="009C38EF" w:rsidP="009C38EF">
      <w:pPr>
        <w:jc w:val="center"/>
        <w:rPr>
          <w:rFonts w:ascii="宋体" w:eastAsia="宋体" w:hAnsi="宋体" w:hint="eastAsia"/>
          <w:b/>
          <w:sz w:val="36"/>
          <w:szCs w:val="36"/>
        </w:rPr>
      </w:pPr>
      <w:r w:rsidRPr="009C38EF">
        <w:rPr>
          <w:rFonts w:ascii="宋体" w:eastAsia="宋体" w:hAnsi="宋体" w:hint="eastAsia"/>
          <w:b/>
          <w:sz w:val="36"/>
          <w:szCs w:val="36"/>
        </w:rPr>
        <w:t>牙科综合治疗机采购招标文件</w:t>
      </w:r>
    </w:p>
    <w:p w:rsidR="009C38EF" w:rsidRPr="009C38EF" w:rsidRDefault="001750D9" w:rsidP="009C38EF">
      <w:pPr>
        <w:rPr>
          <w:rFonts w:ascii="宋体" w:eastAsia="宋体" w:hAnsi="宋体" w:hint="eastAsia"/>
          <w:sz w:val="32"/>
          <w:szCs w:val="32"/>
        </w:rPr>
      </w:pPr>
      <w:r>
        <w:rPr>
          <w:rFonts w:ascii="宋体" w:eastAsia="宋体" w:hAnsi="宋体" w:hint="eastAsia"/>
          <w:sz w:val="32"/>
          <w:szCs w:val="32"/>
        </w:rPr>
        <w:t>一、</w:t>
      </w:r>
      <w:r w:rsidR="009C38EF" w:rsidRPr="009C38EF">
        <w:rPr>
          <w:rFonts w:ascii="宋体" w:eastAsia="宋体" w:hAnsi="宋体" w:hint="eastAsia"/>
          <w:sz w:val="32"/>
          <w:szCs w:val="32"/>
        </w:rPr>
        <w:t>采购数量：一台</w:t>
      </w:r>
    </w:p>
    <w:p w:rsidR="009C38EF" w:rsidRPr="009C38EF" w:rsidRDefault="001750D9" w:rsidP="009C38EF">
      <w:pPr>
        <w:rPr>
          <w:rFonts w:ascii="宋体" w:eastAsia="宋体" w:hAnsi="宋体" w:hint="eastAsia"/>
          <w:sz w:val="32"/>
          <w:szCs w:val="32"/>
        </w:rPr>
      </w:pPr>
      <w:r>
        <w:rPr>
          <w:rFonts w:ascii="宋体" w:eastAsia="宋体" w:hAnsi="宋体" w:hint="eastAsia"/>
          <w:sz w:val="32"/>
          <w:szCs w:val="32"/>
        </w:rPr>
        <w:t>二、</w:t>
      </w:r>
      <w:r w:rsidR="009C38EF" w:rsidRPr="009C38EF">
        <w:rPr>
          <w:rFonts w:ascii="宋体" w:eastAsia="宋体" w:hAnsi="宋体" w:hint="eastAsia"/>
          <w:sz w:val="32"/>
          <w:szCs w:val="32"/>
        </w:rPr>
        <w:t>技术参数：</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w:t>
      </w:r>
      <w:r w:rsidRPr="009C38EF">
        <w:rPr>
          <w:rFonts w:ascii="宋体" w:eastAsia="宋体" w:hAnsi="宋体" w:hint="eastAsia"/>
          <w:sz w:val="32"/>
          <w:szCs w:val="32"/>
        </w:rPr>
        <w:tab/>
        <w:t>1</w:t>
      </w:r>
      <w:r w:rsidRPr="009C38EF">
        <w:rPr>
          <w:rFonts w:ascii="宋体" w:eastAsia="宋体" w:hAnsi="宋体" w:hint="eastAsia"/>
          <w:sz w:val="32"/>
          <w:szCs w:val="32"/>
        </w:rPr>
        <w:tab/>
        <w:t>具有一键消毒功能，需包含管道冲洗、消毒液注入、静置、再次冲洗等步骤，可对三用枪、手机管、漱口水管道进行消毒，并全自动进行，无需人手操作。消毒遗漏会自动报警，具有断电应急机制，通电后自动恢复消毒程序。</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w:t>
      </w:r>
      <w:r w:rsidRPr="009C38EF">
        <w:rPr>
          <w:rFonts w:ascii="宋体" w:eastAsia="宋体" w:hAnsi="宋体" w:hint="eastAsia"/>
          <w:sz w:val="32"/>
          <w:szCs w:val="32"/>
        </w:rPr>
        <w:tab/>
        <w:t>2</w:t>
      </w:r>
      <w:r w:rsidRPr="009C38EF">
        <w:rPr>
          <w:rFonts w:ascii="宋体" w:eastAsia="宋体" w:hAnsi="宋体" w:hint="eastAsia"/>
          <w:sz w:val="32"/>
          <w:szCs w:val="32"/>
        </w:rPr>
        <w:tab/>
        <w:t>医生器械台有手机管道冲洗键，方便每次治疗后对所有手机管进行冲洗。</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3</w:t>
      </w:r>
      <w:r w:rsidRPr="009C38EF">
        <w:rPr>
          <w:rFonts w:ascii="宋体" w:eastAsia="宋体" w:hAnsi="宋体" w:hint="eastAsia"/>
          <w:sz w:val="32"/>
          <w:szCs w:val="32"/>
        </w:rPr>
        <w:tab/>
        <w:t>痰盂配有消毒挂架，并具有≥2个三用枪插孔和≥4个手机管插孔。</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w:t>
      </w:r>
      <w:r w:rsidRPr="009C38EF">
        <w:rPr>
          <w:rFonts w:ascii="宋体" w:eastAsia="宋体" w:hAnsi="宋体" w:hint="eastAsia"/>
          <w:sz w:val="32"/>
          <w:szCs w:val="32"/>
        </w:rPr>
        <w:tab/>
        <w:t>4</w:t>
      </w:r>
      <w:r w:rsidRPr="009C38EF">
        <w:rPr>
          <w:rFonts w:ascii="宋体" w:eastAsia="宋体" w:hAnsi="宋体" w:hint="eastAsia"/>
          <w:sz w:val="32"/>
          <w:szCs w:val="32"/>
        </w:rPr>
        <w:tab/>
        <w:t>痰盂可拆卸，整体使用嵌合技术，无粘胶，装有防止气体回流的装置。</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5</w:t>
      </w:r>
      <w:r w:rsidRPr="009C38EF">
        <w:rPr>
          <w:rFonts w:ascii="宋体" w:eastAsia="宋体" w:hAnsi="宋体" w:hint="eastAsia"/>
          <w:sz w:val="32"/>
          <w:szCs w:val="32"/>
        </w:rPr>
        <w:tab/>
        <w:t>配置≥1200ml消毒液专用水瓶，内置于侧箱内不外露，添加消毒水时无需拆装储水瓶。</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6</w:t>
      </w:r>
      <w:r w:rsidRPr="009C38EF">
        <w:rPr>
          <w:rFonts w:ascii="宋体" w:eastAsia="宋体" w:hAnsi="宋体" w:hint="eastAsia"/>
          <w:sz w:val="32"/>
          <w:szCs w:val="32"/>
        </w:rPr>
        <w:tab/>
        <w:t>LED口腔灯照度可感应无极调节，感应切换黄光和白光，色温可在2300k-5500k间进行调节。</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7</w:t>
      </w:r>
      <w:r w:rsidRPr="009C38EF">
        <w:rPr>
          <w:rFonts w:ascii="宋体" w:eastAsia="宋体" w:hAnsi="宋体" w:hint="eastAsia"/>
          <w:sz w:val="32"/>
          <w:szCs w:val="32"/>
        </w:rPr>
        <w:tab/>
        <w:t>头枕角度采用非旋钮按压式调节，可单手调节，头枕长度可在0-150mm间调节。</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8</w:t>
      </w:r>
      <w:r w:rsidRPr="009C38EF">
        <w:rPr>
          <w:rFonts w:ascii="宋体" w:eastAsia="宋体" w:hAnsi="宋体" w:hint="eastAsia"/>
          <w:sz w:val="32"/>
          <w:szCs w:val="32"/>
        </w:rPr>
        <w:tab/>
        <w:t>治疗椅皮垫表面纹理细腻，触感平滑无凹凸感，表面有缝线固定。</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lastRenderedPageBreak/>
        <w:tab/>
        <w:t>9</w:t>
      </w:r>
      <w:r w:rsidRPr="009C38EF">
        <w:rPr>
          <w:rFonts w:ascii="宋体" w:eastAsia="宋体" w:hAnsi="宋体" w:hint="eastAsia"/>
          <w:sz w:val="32"/>
          <w:szCs w:val="32"/>
        </w:rPr>
        <w:tab/>
        <w:t>配置金属左右扶手，可上下翻转。</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10</w:t>
      </w:r>
      <w:r w:rsidRPr="009C38EF">
        <w:rPr>
          <w:rFonts w:ascii="宋体" w:eastAsia="宋体" w:hAnsi="宋体" w:hint="eastAsia"/>
          <w:sz w:val="32"/>
          <w:szCs w:val="32"/>
        </w:rPr>
        <w:tab/>
        <w:t>具有灯椅联动功能，预设位触发后口腔灯自动关闭，到达预设位后口腔灯自动开启。</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11</w:t>
      </w:r>
      <w:r w:rsidRPr="009C38EF">
        <w:rPr>
          <w:rFonts w:ascii="宋体" w:eastAsia="宋体" w:hAnsi="宋体" w:hint="eastAsia"/>
          <w:sz w:val="32"/>
          <w:szCs w:val="32"/>
        </w:rPr>
        <w:tab/>
        <w:t>具有机椅互锁功能，手机工作时治疗椅运动功能无法启动。</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12</w:t>
      </w:r>
      <w:r w:rsidRPr="009C38EF">
        <w:rPr>
          <w:rFonts w:ascii="宋体" w:eastAsia="宋体" w:hAnsi="宋体" w:hint="eastAsia"/>
          <w:sz w:val="32"/>
          <w:szCs w:val="32"/>
        </w:rPr>
        <w:tab/>
        <w:t>下挂式器械台整体采用铸铝材质，器械托盘可独立旋转，具有≥5个器械位。</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w:t>
      </w:r>
      <w:r w:rsidRPr="009C38EF">
        <w:rPr>
          <w:rFonts w:ascii="宋体" w:eastAsia="宋体" w:hAnsi="宋体" w:hint="eastAsia"/>
          <w:sz w:val="32"/>
          <w:szCs w:val="32"/>
        </w:rPr>
        <w:tab/>
        <w:t>13</w:t>
      </w:r>
      <w:r w:rsidRPr="009C38EF">
        <w:rPr>
          <w:rFonts w:ascii="宋体" w:eastAsia="宋体" w:hAnsi="宋体" w:hint="eastAsia"/>
          <w:sz w:val="32"/>
          <w:szCs w:val="32"/>
        </w:rPr>
        <w:tab/>
        <w:t>配置彩色液晶显示屏，可实时显示牙椅消毒状况、器械工作状态、牙椅故障情况。</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w:t>
      </w:r>
      <w:r w:rsidRPr="009C38EF">
        <w:rPr>
          <w:rFonts w:ascii="宋体" w:eastAsia="宋体" w:hAnsi="宋体" w:hint="eastAsia"/>
          <w:sz w:val="32"/>
          <w:szCs w:val="32"/>
        </w:rPr>
        <w:tab/>
        <w:t>14</w:t>
      </w:r>
      <w:r w:rsidRPr="009C38EF">
        <w:rPr>
          <w:rFonts w:ascii="宋体" w:eastAsia="宋体" w:hAnsi="宋体" w:hint="eastAsia"/>
          <w:sz w:val="32"/>
          <w:szCs w:val="32"/>
        </w:rPr>
        <w:tab/>
        <w:t>牙椅主控面板有≥20个功能按键，可精确控制并显示洁牙机频率和电动马达转速。</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w:t>
      </w:r>
      <w:r w:rsidRPr="009C38EF">
        <w:rPr>
          <w:rFonts w:ascii="宋体" w:eastAsia="宋体" w:hAnsi="宋体" w:hint="eastAsia"/>
          <w:sz w:val="32"/>
          <w:szCs w:val="32"/>
        </w:rPr>
        <w:tab/>
        <w:t>15</w:t>
      </w:r>
      <w:r w:rsidRPr="009C38EF">
        <w:rPr>
          <w:rFonts w:ascii="宋体" w:eastAsia="宋体" w:hAnsi="宋体" w:hint="eastAsia"/>
          <w:sz w:val="32"/>
          <w:szCs w:val="32"/>
        </w:rPr>
        <w:tab/>
        <w:t>≥12个记忆位，另外还具有一键复位和一键漱口位记忆功能。</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16</w:t>
      </w:r>
      <w:r w:rsidRPr="009C38EF">
        <w:rPr>
          <w:rFonts w:ascii="宋体" w:eastAsia="宋体" w:hAnsi="宋体" w:hint="eastAsia"/>
          <w:sz w:val="32"/>
          <w:szCs w:val="32"/>
        </w:rPr>
        <w:tab/>
        <w:t>手机管分别由相互独立的水气控制系统进行控制。具有手机防回吸功能。配置零回吸高速手机2把，内水道低速手机1套。</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17</w:t>
      </w:r>
      <w:r w:rsidRPr="009C38EF">
        <w:rPr>
          <w:rFonts w:ascii="宋体" w:eastAsia="宋体" w:hAnsi="宋体" w:hint="eastAsia"/>
          <w:sz w:val="32"/>
          <w:szCs w:val="32"/>
        </w:rPr>
        <w:tab/>
        <w:t>医生器械台具有水、气、电一键开关。</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18</w:t>
      </w:r>
      <w:r w:rsidRPr="009C38EF">
        <w:rPr>
          <w:rFonts w:ascii="宋体" w:eastAsia="宋体" w:hAnsi="宋体" w:hint="eastAsia"/>
          <w:sz w:val="32"/>
          <w:szCs w:val="32"/>
        </w:rPr>
        <w:tab/>
        <w:t>治疗箱可向外转动≥45°，玻璃痰盂可≥300°旋转。</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19</w:t>
      </w:r>
      <w:r w:rsidRPr="009C38EF">
        <w:rPr>
          <w:rFonts w:ascii="宋体" w:eastAsia="宋体" w:hAnsi="宋体" w:hint="eastAsia"/>
          <w:sz w:val="32"/>
          <w:szCs w:val="32"/>
        </w:rPr>
        <w:tab/>
        <w:t>具有低压防干烧恒温热水器。</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20</w:t>
      </w:r>
      <w:r w:rsidRPr="009C38EF">
        <w:rPr>
          <w:rFonts w:ascii="宋体" w:eastAsia="宋体" w:hAnsi="宋体" w:hint="eastAsia"/>
          <w:sz w:val="32"/>
          <w:szCs w:val="32"/>
        </w:rPr>
        <w:tab/>
        <w:t>强弱吸过滤器为旋扣式，位于助手侧。</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21</w:t>
      </w:r>
      <w:r w:rsidRPr="009C38EF">
        <w:rPr>
          <w:rFonts w:ascii="宋体" w:eastAsia="宋体" w:hAnsi="宋体" w:hint="eastAsia"/>
          <w:sz w:val="32"/>
          <w:szCs w:val="32"/>
        </w:rPr>
        <w:tab/>
        <w:t>纯净水和自来水模式切换只需通过一个开关。</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22</w:t>
      </w:r>
      <w:r w:rsidRPr="009C38EF">
        <w:rPr>
          <w:rFonts w:ascii="宋体" w:eastAsia="宋体" w:hAnsi="宋体" w:hint="eastAsia"/>
          <w:sz w:val="32"/>
          <w:szCs w:val="32"/>
        </w:rPr>
        <w:tab/>
        <w:t>整机配置</w:t>
      </w:r>
      <w:r w:rsidRPr="009C38EF">
        <w:rPr>
          <w:rFonts w:ascii="宋体" w:eastAsia="宋体" w:hAnsi="宋体" w:hint="eastAsia"/>
          <w:sz w:val="32"/>
          <w:szCs w:val="32"/>
        </w:rPr>
        <w:t>优质耐磨</w:t>
      </w:r>
      <w:r w:rsidRPr="009C38EF">
        <w:rPr>
          <w:rFonts w:ascii="宋体" w:eastAsia="宋体" w:hAnsi="宋体" w:hint="eastAsia"/>
          <w:sz w:val="32"/>
          <w:szCs w:val="32"/>
        </w:rPr>
        <w:t>水气管。</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lastRenderedPageBreak/>
        <w:t>★</w:t>
      </w:r>
      <w:r w:rsidRPr="009C38EF">
        <w:rPr>
          <w:rFonts w:ascii="宋体" w:eastAsia="宋体" w:hAnsi="宋体" w:hint="eastAsia"/>
          <w:sz w:val="32"/>
          <w:szCs w:val="32"/>
        </w:rPr>
        <w:tab/>
        <w:t>23</w:t>
      </w:r>
      <w:r w:rsidRPr="009C38EF">
        <w:rPr>
          <w:rFonts w:ascii="宋体" w:eastAsia="宋体" w:hAnsi="宋体" w:hint="eastAsia"/>
          <w:sz w:val="32"/>
          <w:szCs w:val="32"/>
        </w:rPr>
        <w:tab/>
        <w:t>助手器械挂架可进行水平≥200°旋转，个器械挂架可各自单独进行垂直360°旋转。</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24</w:t>
      </w:r>
      <w:r w:rsidRPr="009C38EF">
        <w:rPr>
          <w:rFonts w:ascii="宋体" w:eastAsia="宋体" w:hAnsi="宋体" w:hint="eastAsia"/>
          <w:sz w:val="32"/>
          <w:szCs w:val="32"/>
        </w:rPr>
        <w:tab/>
        <w:t>副控面板带≥10个功能按键，可进行水平180°旋转。</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25</w:t>
      </w:r>
      <w:r w:rsidRPr="009C38EF">
        <w:rPr>
          <w:rFonts w:ascii="宋体" w:eastAsia="宋体" w:hAnsi="宋体" w:hint="eastAsia"/>
          <w:sz w:val="32"/>
          <w:szCs w:val="32"/>
        </w:rPr>
        <w:tab/>
        <w:t>强弱吸手柄可调节流量大小。</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26</w:t>
      </w:r>
      <w:r w:rsidRPr="009C38EF">
        <w:rPr>
          <w:rFonts w:ascii="宋体" w:eastAsia="宋体" w:hAnsi="宋体" w:hint="eastAsia"/>
          <w:sz w:val="32"/>
          <w:szCs w:val="32"/>
        </w:rPr>
        <w:tab/>
        <w:t>助手杆为三关节结构。</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27</w:t>
      </w:r>
      <w:r w:rsidRPr="009C38EF">
        <w:rPr>
          <w:rFonts w:ascii="宋体" w:eastAsia="宋体" w:hAnsi="宋体" w:hint="eastAsia"/>
          <w:sz w:val="32"/>
          <w:szCs w:val="32"/>
        </w:rPr>
        <w:tab/>
        <w:t>内置地箱，电源盒为单独封闭式结构。</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28</w:t>
      </w:r>
      <w:r w:rsidRPr="009C38EF">
        <w:rPr>
          <w:rFonts w:ascii="宋体" w:eastAsia="宋体" w:hAnsi="宋体" w:hint="eastAsia"/>
          <w:sz w:val="32"/>
          <w:szCs w:val="32"/>
        </w:rPr>
        <w:tab/>
        <w:t>脚踏可控制牙椅升降俯仰、手机工作、有无水和吹屑气控制、供水冲盂联动、复位等功能。</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29</w:t>
      </w:r>
      <w:r w:rsidRPr="009C38EF">
        <w:rPr>
          <w:rFonts w:ascii="宋体" w:eastAsia="宋体" w:hAnsi="宋体" w:hint="eastAsia"/>
          <w:sz w:val="32"/>
          <w:szCs w:val="32"/>
        </w:rPr>
        <w:tab/>
        <w:t>医生椅可进行坐垫升降、水平倾斜度调节，靠背高度和俯仰调节。坐垫高度可在425mm-580mm间调节，采用铝合金椅架和静音轮。</w:t>
      </w:r>
    </w:p>
    <w:p w:rsidR="009C38EF" w:rsidRPr="009C38EF" w:rsidRDefault="009C38EF" w:rsidP="009C38EF">
      <w:pPr>
        <w:rPr>
          <w:rFonts w:ascii="宋体" w:eastAsia="宋体" w:hAnsi="宋体" w:hint="eastAsia"/>
          <w:sz w:val="32"/>
          <w:szCs w:val="32"/>
        </w:rPr>
      </w:pPr>
      <w:r w:rsidRPr="009C38EF">
        <w:rPr>
          <w:rFonts w:ascii="宋体" w:eastAsia="宋体" w:hAnsi="宋体" w:hint="eastAsia"/>
          <w:sz w:val="32"/>
          <w:szCs w:val="32"/>
        </w:rPr>
        <w:tab/>
        <w:t>30</w:t>
      </w:r>
      <w:r w:rsidRPr="009C38EF">
        <w:rPr>
          <w:rFonts w:ascii="宋体" w:eastAsia="宋体" w:hAnsi="宋体" w:hint="eastAsia"/>
          <w:sz w:val="32"/>
          <w:szCs w:val="32"/>
        </w:rPr>
        <w:tab/>
        <w:t>至少保修两年或以上。</w:t>
      </w:r>
    </w:p>
    <w:p w:rsidR="00CB59CA" w:rsidRDefault="001750D9" w:rsidP="009C38EF">
      <w:pPr>
        <w:rPr>
          <w:rFonts w:ascii="宋体" w:eastAsia="宋体" w:hAnsi="宋体" w:hint="eastAsia"/>
          <w:sz w:val="32"/>
          <w:szCs w:val="32"/>
        </w:rPr>
      </w:pPr>
      <w:r>
        <w:rPr>
          <w:rFonts w:ascii="宋体" w:eastAsia="宋体" w:hAnsi="宋体"/>
          <w:sz w:val="32"/>
          <w:szCs w:val="32"/>
        </w:rPr>
        <w:t>三</w:t>
      </w:r>
      <w:r>
        <w:rPr>
          <w:rFonts w:ascii="宋体" w:eastAsia="宋体" w:hAnsi="宋体" w:hint="eastAsia"/>
          <w:sz w:val="32"/>
          <w:szCs w:val="32"/>
        </w:rPr>
        <w:t>、</w:t>
      </w:r>
      <w:r>
        <w:rPr>
          <w:rFonts w:ascii="宋体" w:eastAsia="宋体" w:hAnsi="宋体"/>
          <w:sz w:val="32"/>
          <w:szCs w:val="32"/>
        </w:rPr>
        <w:t>评分标准</w:t>
      </w:r>
    </w:p>
    <w:p w:rsidR="001750D9" w:rsidRDefault="001750D9" w:rsidP="001750D9">
      <w:pPr>
        <w:widowControl/>
        <w:spacing w:line="360" w:lineRule="auto"/>
        <w:jc w:val="left"/>
        <w:rPr>
          <w:rFonts w:ascii="宋体" w:hAnsi="宋体" w:cs="宋体"/>
          <w:b/>
          <w:bCs/>
          <w:sz w:val="24"/>
        </w:rPr>
      </w:pPr>
      <w:r>
        <w:rPr>
          <w:rFonts w:ascii="宋体" w:hAnsi="宋体" w:cs="宋体" w:hint="eastAsia"/>
          <w:b/>
          <w:bCs/>
          <w:sz w:val="24"/>
        </w:rPr>
        <w:t>拟采用的评标方法：综合评分法</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5"/>
        <w:gridCol w:w="1185"/>
        <w:gridCol w:w="1185"/>
        <w:gridCol w:w="5865"/>
        <w:gridCol w:w="1074"/>
      </w:tblGrid>
      <w:tr w:rsidR="001750D9" w:rsidTr="00D97BB9">
        <w:trPr>
          <w:trHeight w:val="712"/>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序号</w:t>
            </w:r>
          </w:p>
        </w:tc>
        <w:tc>
          <w:tcPr>
            <w:tcW w:w="1185" w:type="dxa"/>
            <w:vAlign w:val="center"/>
          </w:tcPr>
          <w:p w:rsidR="001750D9" w:rsidRDefault="001750D9" w:rsidP="00D97BB9">
            <w:pPr>
              <w:spacing w:line="360" w:lineRule="auto"/>
              <w:rPr>
                <w:rFonts w:ascii="宋体" w:hAnsi="宋体" w:cs="宋体"/>
                <w:sz w:val="24"/>
              </w:rPr>
            </w:pPr>
            <w:r>
              <w:rPr>
                <w:rFonts w:ascii="宋体" w:hAnsi="宋体" w:cs="宋体" w:hint="eastAsia"/>
                <w:sz w:val="24"/>
              </w:rPr>
              <w:t>评分因素</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分值</w:t>
            </w:r>
          </w:p>
        </w:tc>
        <w:tc>
          <w:tcPr>
            <w:tcW w:w="586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评分标准</w:t>
            </w:r>
          </w:p>
        </w:tc>
        <w:tc>
          <w:tcPr>
            <w:tcW w:w="1074"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说明</w:t>
            </w:r>
          </w:p>
        </w:tc>
      </w:tr>
      <w:tr w:rsidR="001750D9" w:rsidTr="00D97BB9">
        <w:trPr>
          <w:trHeight w:val="2596"/>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1</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报价30%</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30分</w:t>
            </w:r>
          </w:p>
        </w:tc>
        <w:tc>
          <w:tcPr>
            <w:tcW w:w="5865" w:type="dxa"/>
            <w:vAlign w:val="center"/>
          </w:tcPr>
          <w:p w:rsidR="001750D9" w:rsidRDefault="001750D9" w:rsidP="00D97BB9">
            <w:pPr>
              <w:wordWrap w:val="0"/>
              <w:spacing w:line="360" w:lineRule="auto"/>
              <w:ind w:firstLineChars="200" w:firstLine="480"/>
              <w:rPr>
                <w:rFonts w:ascii="宋体" w:hAnsi="宋体" w:cs="宋体"/>
                <w:sz w:val="24"/>
              </w:rPr>
            </w:pPr>
            <w:r>
              <w:rPr>
                <w:rFonts w:ascii="宋体" w:hAnsi="宋体" w:cs="宋体" w:hint="eastAsia"/>
                <w:sz w:val="24"/>
              </w:rPr>
              <w:t>投标人有效报价中的最低报价为评标基准价，按照下列公式计算每个投标人的价格得分。公式：投标报价得分＝（投标基准价/投标报价）×价格权重×100。（保留两位小数）</w:t>
            </w:r>
          </w:p>
          <w:p w:rsidR="001750D9" w:rsidRDefault="001750D9" w:rsidP="00D97BB9">
            <w:pPr>
              <w:wordWrap w:val="0"/>
              <w:spacing w:line="360" w:lineRule="auto"/>
              <w:ind w:firstLineChars="200" w:firstLine="480"/>
              <w:rPr>
                <w:rFonts w:ascii="宋体" w:hAnsi="宋体" w:cs="宋体"/>
                <w:sz w:val="24"/>
              </w:rPr>
            </w:pPr>
            <w:r>
              <w:rPr>
                <w:rFonts w:ascii="宋体" w:hAnsi="宋体" w:cs="宋体" w:hint="eastAsia"/>
                <w:sz w:val="24"/>
              </w:rPr>
              <w:t>注：小微企业（监狱企业、残疾人福利性单位视同小微企业）价格扣除（扣除10%）按照法律规定执行。</w:t>
            </w:r>
          </w:p>
        </w:tc>
        <w:tc>
          <w:tcPr>
            <w:tcW w:w="1074" w:type="dxa"/>
            <w:vAlign w:val="center"/>
          </w:tcPr>
          <w:p w:rsidR="001750D9" w:rsidRDefault="001750D9" w:rsidP="00D97BB9">
            <w:pPr>
              <w:pStyle w:val="Default"/>
              <w:spacing w:line="360" w:lineRule="auto"/>
              <w:jc w:val="center"/>
              <w:rPr>
                <w:rFonts w:ascii="宋体" w:eastAsia="宋体" w:hAnsi="宋体" w:cs="宋体"/>
                <w:color w:val="auto"/>
                <w:kern w:val="2"/>
                <w:szCs w:val="24"/>
              </w:rPr>
            </w:pPr>
            <w:r>
              <w:rPr>
                <w:rFonts w:ascii="宋体" w:eastAsia="宋体" w:hAnsi="宋体" w:cs="宋体" w:hint="eastAsia"/>
                <w:color w:val="auto"/>
                <w:kern w:val="2"/>
                <w:szCs w:val="24"/>
              </w:rPr>
              <w:t>经济类评分因素</w:t>
            </w:r>
          </w:p>
        </w:tc>
      </w:tr>
      <w:tr w:rsidR="001750D9" w:rsidTr="00D97BB9">
        <w:trPr>
          <w:trHeight w:val="569"/>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2</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技术指标和配置50%</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50分</w:t>
            </w:r>
          </w:p>
        </w:tc>
        <w:tc>
          <w:tcPr>
            <w:tcW w:w="5865" w:type="dxa"/>
            <w:vAlign w:val="center"/>
          </w:tcPr>
          <w:p w:rsidR="001750D9" w:rsidRDefault="001750D9" w:rsidP="00D97BB9">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完全符合招标文件要求没有负偏离得</w:t>
            </w:r>
            <w:r>
              <w:rPr>
                <w:rFonts w:ascii="宋体" w:hAnsi="宋体" w:cs="宋体" w:hint="eastAsia"/>
                <w:sz w:val="24"/>
              </w:rPr>
              <w:t>50</w:t>
            </w:r>
            <w:r>
              <w:rPr>
                <w:rFonts w:ascii="宋体" w:hAnsi="宋体" w:cs="宋体"/>
                <w:sz w:val="24"/>
              </w:rPr>
              <w:t>分；</w:t>
            </w:r>
          </w:p>
          <w:p w:rsidR="001750D9" w:rsidRDefault="001750D9" w:rsidP="00D97BB9">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带“</w:t>
            </w:r>
            <w:r>
              <w:rPr>
                <w:rFonts w:ascii="宋体" w:hAnsi="宋体" w:cs="宋体" w:hint="eastAsia"/>
                <w:sz w:val="24"/>
              </w:rPr>
              <w:t>▲</w:t>
            </w:r>
            <w:r>
              <w:rPr>
                <w:rFonts w:ascii="宋体" w:hAnsi="宋体" w:cs="宋体"/>
                <w:sz w:val="24"/>
              </w:rPr>
              <w:t>”项为满足实施项目的重要性条款，</w:t>
            </w:r>
            <w:r>
              <w:rPr>
                <w:rFonts w:ascii="宋体" w:hAnsi="宋体" w:cs="宋体" w:hint="eastAsia"/>
                <w:sz w:val="24"/>
              </w:rPr>
              <w:t>每有一项</w:t>
            </w:r>
            <w:r>
              <w:rPr>
                <w:rFonts w:ascii="宋体" w:hAnsi="宋体" w:cs="宋体"/>
                <w:sz w:val="24"/>
              </w:rPr>
              <w:t>负偏离扣</w:t>
            </w:r>
            <w:r>
              <w:rPr>
                <w:rFonts w:ascii="宋体" w:hAnsi="宋体" w:cs="宋体" w:hint="eastAsia"/>
                <w:sz w:val="24"/>
              </w:rPr>
              <w:t>5</w:t>
            </w:r>
            <w:r>
              <w:rPr>
                <w:rFonts w:ascii="宋体" w:hAnsi="宋体" w:cs="宋体"/>
                <w:sz w:val="24"/>
              </w:rPr>
              <w:t>分</w:t>
            </w:r>
            <w:r>
              <w:rPr>
                <w:rFonts w:ascii="宋体" w:hAnsi="宋体" w:cs="宋体" w:hint="eastAsia"/>
                <w:sz w:val="24"/>
              </w:rPr>
              <w:t>，</w:t>
            </w:r>
            <w:r>
              <w:rPr>
                <w:rFonts w:ascii="宋体" w:hAnsi="宋体" w:cs="宋体"/>
                <w:sz w:val="24"/>
              </w:rPr>
              <w:t>扣完为止；与招标文件非“</w:t>
            </w:r>
            <w:r>
              <w:rPr>
                <w:rFonts w:ascii="宋体" w:hAnsi="宋体" w:cs="宋体" w:hint="eastAsia"/>
                <w:sz w:val="24"/>
              </w:rPr>
              <w:t>▲</w:t>
            </w:r>
            <w:r>
              <w:rPr>
                <w:rFonts w:ascii="宋体" w:hAnsi="宋体" w:cs="宋体"/>
                <w:sz w:val="24"/>
              </w:rPr>
              <w:t>”</w:t>
            </w:r>
            <w:r>
              <w:rPr>
                <w:rFonts w:ascii="宋体" w:hAnsi="宋体" w:cs="宋体"/>
                <w:sz w:val="24"/>
              </w:rPr>
              <w:lastRenderedPageBreak/>
              <w:t>号参数要求</w:t>
            </w:r>
            <w:r>
              <w:rPr>
                <w:rFonts w:ascii="宋体" w:hAnsi="宋体" w:cs="宋体" w:hint="eastAsia"/>
                <w:sz w:val="24"/>
              </w:rPr>
              <w:t>，每有一项</w:t>
            </w:r>
            <w:r>
              <w:rPr>
                <w:rFonts w:ascii="宋体" w:hAnsi="宋体" w:cs="宋体"/>
                <w:sz w:val="24"/>
              </w:rPr>
              <w:t>负偏离的扣</w:t>
            </w:r>
            <w:r>
              <w:rPr>
                <w:rFonts w:ascii="宋体" w:hAnsi="宋体" w:cs="宋体" w:hint="eastAsia"/>
                <w:sz w:val="24"/>
              </w:rPr>
              <w:t>3</w:t>
            </w:r>
            <w:r>
              <w:rPr>
                <w:rFonts w:ascii="宋体" w:hAnsi="宋体" w:cs="宋体"/>
                <w:sz w:val="24"/>
              </w:rPr>
              <w:t>分</w:t>
            </w:r>
            <w:r>
              <w:rPr>
                <w:rFonts w:ascii="宋体" w:hAnsi="宋体" w:cs="宋体" w:hint="eastAsia"/>
                <w:sz w:val="24"/>
              </w:rPr>
              <w:t>，</w:t>
            </w:r>
            <w:r>
              <w:rPr>
                <w:rFonts w:ascii="宋体" w:hAnsi="宋体" w:cs="宋体"/>
                <w:sz w:val="24"/>
              </w:rPr>
              <w:t>扣完为止。</w:t>
            </w:r>
          </w:p>
          <w:p w:rsidR="001750D9" w:rsidRDefault="001750D9" w:rsidP="00D97BB9">
            <w:pPr>
              <w:pStyle w:val="Default"/>
              <w:spacing w:line="360" w:lineRule="auto"/>
              <w:ind w:firstLineChars="200" w:firstLine="480"/>
              <w:rPr>
                <w:rFonts w:ascii="宋体" w:eastAsia="宋体" w:hAnsi="宋体" w:cs="宋体"/>
                <w:color w:val="auto"/>
              </w:rPr>
            </w:pPr>
            <w:r>
              <w:rPr>
                <w:rFonts w:ascii="宋体" w:eastAsia="宋体" w:hAnsi="宋体" w:cs="宋体" w:hint="eastAsia"/>
                <w:color w:val="auto"/>
              </w:rPr>
              <w:t>3、与招标文件要求有正偏离的，每有一项得1分，最多得5分。</w:t>
            </w:r>
          </w:p>
          <w:p w:rsidR="001750D9" w:rsidRDefault="001750D9" w:rsidP="00D97BB9">
            <w:pPr>
              <w:wordWrap w:val="0"/>
              <w:spacing w:line="360" w:lineRule="auto"/>
              <w:ind w:firstLineChars="200" w:firstLine="420"/>
              <w:rPr>
                <w:rFonts w:ascii="宋体" w:hAnsi="宋体" w:cs="宋体"/>
                <w:sz w:val="24"/>
              </w:rPr>
            </w:pPr>
            <w:r>
              <w:rPr>
                <w:rFonts w:ascii="宋体" w:hAnsi="宋体" w:cs="宋体" w:hint="eastAsia"/>
              </w:rPr>
              <w:t>注：</w:t>
            </w:r>
            <w:r>
              <w:rPr>
                <w:rFonts w:ascii="宋体" w:hAnsi="宋体" w:cs="宋体"/>
              </w:rPr>
              <w:t>“</w:t>
            </w:r>
            <w:r>
              <w:rPr>
                <w:rFonts w:ascii="宋体" w:hAnsi="宋体" w:cs="宋体" w:hint="eastAsia"/>
              </w:rPr>
              <w:t>▲</w:t>
            </w:r>
            <w:r>
              <w:rPr>
                <w:rFonts w:ascii="宋体" w:hAnsi="宋体" w:cs="宋体"/>
              </w:rPr>
              <w:t>”</w:t>
            </w:r>
            <w:r>
              <w:rPr>
                <w:rFonts w:ascii="宋体" w:hAnsi="宋体" w:cs="宋体" w:hint="eastAsia"/>
                <w:sz w:val="24"/>
              </w:rPr>
              <w:t>号条款须提供参数证明材料（原厂参数证明/原厂产品说明或彩页资料/官网截图及网址/其它参数证明等任意一种或多种方式），未提供或提供参数不符视为负偏离。</w:t>
            </w:r>
          </w:p>
        </w:tc>
        <w:tc>
          <w:tcPr>
            <w:tcW w:w="1074" w:type="dxa"/>
            <w:vAlign w:val="center"/>
          </w:tcPr>
          <w:p w:rsidR="001750D9" w:rsidRDefault="001750D9" w:rsidP="00D97BB9">
            <w:pPr>
              <w:pStyle w:val="Default"/>
              <w:spacing w:line="360" w:lineRule="auto"/>
              <w:jc w:val="center"/>
              <w:rPr>
                <w:rFonts w:ascii="宋体" w:eastAsia="宋体" w:hAnsi="宋体" w:cs="宋体"/>
                <w:color w:val="auto"/>
                <w:kern w:val="2"/>
                <w:szCs w:val="24"/>
              </w:rPr>
            </w:pPr>
            <w:r>
              <w:rPr>
                <w:rFonts w:ascii="宋体" w:eastAsia="宋体" w:hAnsi="宋体" w:cs="宋体" w:hint="eastAsia"/>
                <w:color w:val="auto"/>
                <w:kern w:val="2"/>
                <w:szCs w:val="24"/>
              </w:rPr>
              <w:lastRenderedPageBreak/>
              <w:t>技术类、采购人代表评</w:t>
            </w:r>
            <w:r>
              <w:rPr>
                <w:rFonts w:ascii="宋体" w:eastAsia="宋体" w:hAnsi="宋体" w:cs="宋体" w:hint="eastAsia"/>
                <w:color w:val="auto"/>
                <w:kern w:val="2"/>
                <w:szCs w:val="24"/>
              </w:rPr>
              <w:lastRenderedPageBreak/>
              <w:t>审因素</w:t>
            </w:r>
          </w:p>
        </w:tc>
      </w:tr>
      <w:tr w:rsidR="001750D9" w:rsidTr="00D97BB9">
        <w:trPr>
          <w:trHeight w:val="569"/>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lastRenderedPageBreak/>
              <w:t>3</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履约能力6%</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6分</w:t>
            </w:r>
          </w:p>
        </w:tc>
        <w:tc>
          <w:tcPr>
            <w:tcW w:w="5865" w:type="dxa"/>
          </w:tcPr>
          <w:p w:rsidR="001750D9" w:rsidRDefault="001750D9" w:rsidP="00D97BB9">
            <w:pPr>
              <w:spacing w:line="360" w:lineRule="auto"/>
              <w:ind w:firstLineChars="200" w:firstLine="480"/>
              <w:jc w:val="left"/>
              <w:rPr>
                <w:rFonts w:ascii="宋体" w:hAnsi="宋体" w:cs="宋体"/>
                <w:sz w:val="24"/>
              </w:rPr>
            </w:pPr>
            <w:r>
              <w:rPr>
                <w:rFonts w:ascii="宋体" w:hAnsi="宋体" w:cs="宋体" w:hint="eastAsia"/>
                <w:sz w:val="24"/>
              </w:rPr>
              <w:t>投标人提供自2019年1月1日起至投标截止日止以来的类似业绩，一个得2分，最多得6分。</w:t>
            </w:r>
          </w:p>
          <w:p w:rsidR="001750D9" w:rsidRDefault="001750D9" w:rsidP="00D97BB9">
            <w:pPr>
              <w:spacing w:line="360" w:lineRule="auto"/>
              <w:ind w:firstLineChars="200" w:firstLine="480"/>
              <w:jc w:val="left"/>
              <w:rPr>
                <w:rFonts w:ascii="宋体" w:hAnsi="宋体" w:cs="宋体"/>
                <w:sz w:val="24"/>
              </w:rPr>
            </w:pPr>
            <w:r>
              <w:rPr>
                <w:rFonts w:ascii="宋体" w:hAnsi="宋体" w:cs="宋体" w:hint="eastAsia"/>
                <w:sz w:val="24"/>
              </w:rPr>
              <w:t>注：提供销售合同或中标/成交通知书复印件。</w:t>
            </w:r>
          </w:p>
        </w:tc>
        <w:tc>
          <w:tcPr>
            <w:tcW w:w="1074"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共同类评分因素</w:t>
            </w:r>
          </w:p>
        </w:tc>
      </w:tr>
      <w:tr w:rsidR="001750D9" w:rsidTr="00D97BB9">
        <w:trPr>
          <w:trHeight w:val="569"/>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4</w:t>
            </w:r>
          </w:p>
        </w:tc>
        <w:tc>
          <w:tcPr>
            <w:tcW w:w="1185" w:type="dxa"/>
            <w:vAlign w:val="center"/>
          </w:tcPr>
          <w:p w:rsidR="001750D9" w:rsidRDefault="001750D9" w:rsidP="00D97BB9">
            <w:pPr>
              <w:pStyle w:val="Default"/>
              <w:spacing w:line="360" w:lineRule="auto"/>
              <w:jc w:val="center"/>
              <w:rPr>
                <w:rFonts w:ascii="宋体" w:eastAsia="宋体" w:hAnsi="宋体" w:cs="宋体"/>
                <w:color w:val="auto"/>
                <w:kern w:val="2"/>
                <w:szCs w:val="24"/>
              </w:rPr>
            </w:pPr>
            <w:r>
              <w:rPr>
                <w:rFonts w:ascii="宋体" w:eastAsia="宋体" w:hAnsi="宋体" w:cs="宋体" w:hint="eastAsia"/>
                <w:color w:val="auto"/>
                <w:kern w:val="2"/>
                <w:szCs w:val="24"/>
              </w:rPr>
              <w:t>售后服务12%</w:t>
            </w:r>
          </w:p>
          <w:p w:rsidR="001750D9" w:rsidRDefault="001750D9" w:rsidP="00D97BB9">
            <w:pPr>
              <w:spacing w:line="360" w:lineRule="auto"/>
              <w:jc w:val="center"/>
              <w:rPr>
                <w:rFonts w:ascii="宋体" w:hAnsi="宋体" w:cs="宋体"/>
                <w:sz w:val="24"/>
              </w:rPr>
            </w:pP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12分</w:t>
            </w:r>
          </w:p>
        </w:tc>
        <w:tc>
          <w:tcPr>
            <w:tcW w:w="5865" w:type="dxa"/>
          </w:tcPr>
          <w:p w:rsidR="001750D9" w:rsidRDefault="001750D9" w:rsidP="00D97BB9">
            <w:pPr>
              <w:pStyle w:val="Default"/>
              <w:spacing w:line="360" w:lineRule="auto"/>
              <w:rPr>
                <w:rFonts w:ascii="宋体" w:eastAsia="宋体" w:hAnsi="宋体" w:cs="宋体"/>
                <w:color w:val="auto"/>
                <w:kern w:val="2"/>
                <w:szCs w:val="24"/>
              </w:rPr>
            </w:pPr>
            <w:r>
              <w:rPr>
                <w:rFonts w:ascii="宋体" w:eastAsia="宋体" w:hAnsi="宋体" w:cs="宋体" w:hint="eastAsia"/>
                <w:color w:val="auto"/>
                <w:kern w:val="2"/>
                <w:szCs w:val="24"/>
              </w:rPr>
              <w:t>根据投标人针对本项目提供的售后服务方案：</w:t>
            </w:r>
          </w:p>
          <w:p w:rsidR="001750D9" w:rsidRDefault="001750D9" w:rsidP="00D97BB9">
            <w:pPr>
              <w:pStyle w:val="Default"/>
              <w:spacing w:line="360" w:lineRule="auto"/>
              <w:rPr>
                <w:rFonts w:ascii="宋体" w:eastAsia="宋体" w:hAnsi="宋体" w:cs="宋体"/>
                <w:color w:val="auto"/>
                <w:kern w:val="2"/>
                <w:szCs w:val="24"/>
              </w:rPr>
            </w:pPr>
            <w:r>
              <w:rPr>
                <w:rFonts w:ascii="宋体" w:eastAsia="宋体" w:hAnsi="宋体" w:cs="宋体" w:hint="eastAsia"/>
                <w:color w:val="auto"/>
                <w:kern w:val="2"/>
                <w:szCs w:val="24"/>
              </w:rPr>
              <w:t>1.售后服务机构及售后服务人员配置</w:t>
            </w:r>
          </w:p>
          <w:p w:rsidR="001750D9" w:rsidRDefault="001750D9" w:rsidP="00D97BB9">
            <w:pPr>
              <w:pStyle w:val="Default"/>
              <w:spacing w:line="360" w:lineRule="auto"/>
              <w:rPr>
                <w:rFonts w:ascii="宋体" w:eastAsia="宋体" w:hAnsi="宋体" w:cs="宋体"/>
                <w:color w:val="auto"/>
                <w:kern w:val="2"/>
                <w:szCs w:val="24"/>
              </w:rPr>
            </w:pPr>
            <w:r>
              <w:rPr>
                <w:rFonts w:ascii="宋体" w:eastAsia="宋体" w:hAnsi="宋体" w:cs="宋体" w:hint="eastAsia"/>
                <w:color w:val="auto"/>
                <w:kern w:val="2"/>
                <w:szCs w:val="24"/>
              </w:rPr>
              <w:t>2．售后培训方案（时间、地点、人员、培训次数）</w:t>
            </w:r>
          </w:p>
          <w:p w:rsidR="001750D9" w:rsidRDefault="001750D9" w:rsidP="00D97BB9">
            <w:pPr>
              <w:pStyle w:val="Default"/>
              <w:spacing w:line="360" w:lineRule="auto"/>
              <w:rPr>
                <w:rFonts w:ascii="宋体" w:eastAsia="宋体" w:hAnsi="宋体" w:cs="宋体"/>
                <w:color w:val="auto"/>
                <w:kern w:val="2"/>
                <w:szCs w:val="24"/>
              </w:rPr>
            </w:pPr>
            <w:r>
              <w:rPr>
                <w:rFonts w:ascii="宋体" w:eastAsia="宋体" w:hAnsi="宋体" w:cs="宋体" w:hint="eastAsia"/>
                <w:color w:val="auto"/>
                <w:kern w:val="2"/>
                <w:szCs w:val="24"/>
              </w:rPr>
              <w:t>3.售后服务方案（人员、响应时间、到达时间、零部件的配备）</w:t>
            </w:r>
          </w:p>
          <w:p w:rsidR="001750D9" w:rsidRDefault="001750D9" w:rsidP="00D97BB9">
            <w:pPr>
              <w:pStyle w:val="Default"/>
              <w:spacing w:line="360" w:lineRule="auto"/>
              <w:rPr>
                <w:rFonts w:ascii="宋体" w:eastAsia="宋体" w:hAnsi="宋体" w:cs="宋体"/>
                <w:color w:val="auto"/>
                <w:kern w:val="2"/>
                <w:szCs w:val="24"/>
              </w:rPr>
            </w:pPr>
            <w:r>
              <w:rPr>
                <w:rFonts w:ascii="宋体" w:eastAsia="宋体" w:hAnsi="宋体" w:cs="宋体" w:hint="eastAsia"/>
                <w:color w:val="auto"/>
                <w:kern w:val="2"/>
                <w:szCs w:val="24"/>
              </w:rPr>
              <w:t>4.应急响应方案</w:t>
            </w:r>
          </w:p>
          <w:p w:rsidR="001750D9" w:rsidRDefault="001750D9" w:rsidP="00D97BB9">
            <w:pPr>
              <w:pStyle w:val="Default"/>
              <w:spacing w:line="360" w:lineRule="auto"/>
              <w:rPr>
                <w:rFonts w:ascii="宋体" w:eastAsia="宋体" w:hAnsi="宋体" w:cs="宋体"/>
                <w:color w:val="auto"/>
                <w:kern w:val="2"/>
                <w:szCs w:val="24"/>
              </w:rPr>
            </w:pPr>
            <w:r>
              <w:rPr>
                <w:rFonts w:ascii="宋体" w:eastAsia="宋体" w:hAnsi="宋体" w:cs="宋体" w:hint="eastAsia"/>
                <w:color w:val="auto"/>
                <w:kern w:val="2"/>
                <w:szCs w:val="24"/>
              </w:rPr>
              <w:t>缺项扣3分，每有一项内容不足或有缺陷的扣0.5分，扣完为止。</w:t>
            </w:r>
          </w:p>
        </w:tc>
        <w:tc>
          <w:tcPr>
            <w:tcW w:w="1074"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技术类、采购人代表评审因素</w:t>
            </w:r>
          </w:p>
        </w:tc>
      </w:tr>
      <w:tr w:rsidR="001750D9" w:rsidTr="00D97BB9">
        <w:trPr>
          <w:trHeight w:val="343"/>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6</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扶持不发达地区和少数民族地区1%</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1分</w:t>
            </w:r>
          </w:p>
        </w:tc>
        <w:tc>
          <w:tcPr>
            <w:tcW w:w="5865" w:type="dxa"/>
            <w:vAlign w:val="center"/>
          </w:tcPr>
          <w:p w:rsidR="001750D9" w:rsidRDefault="001750D9" w:rsidP="00D97BB9">
            <w:pPr>
              <w:spacing w:line="360" w:lineRule="auto"/>
              <w:ind w:firstLineChars="200" w:firstLine="480"/>
              <w:jc w:val="left"/>
              <w:rPr>
                <w:rFonts w:ascii="宋体" w:hAnsi="宋体" w:cs="宋体"/>
                <w:sz w:val="24"/>
              </w:rPr>
            </w:pPr>
            <w:r>
              <w:rPr>
                <w:rFonts w:ascii="宋体" w:hAnsi="宋体" w:cs="宋体" w:hint="eastAsia"/>
                <w:sz w:val="24"/>
              </w:rPr>
              <w:t>投标人为不发达地区或少数民族地区的得1分；</w:t>
            </w:r>
          </w:p>
          <w:p w:rsidR="001750D9" w:rsidRDefault="001750D9" w:rsidP="00D97BB9">
            <w:pPr>
              <w:spacing w:line="360" w:lineRule="auto"/>
              <w:ind w:firstLineChars="200" w:firstLine="480"/>
              <w:jc w:val="left"/>
              <w:rPr>
                <w:rFonts w:ascii="宋体" w:hAnsi="宋体" w:cs="宋体"/>
                <w:sz w:val="24"/>
              </w:rPr>
            </w:pPr>
            <w:r>
              <w:rPr>
                <w:rFonts w:ascii="宋体" w:hAnsi="宋体" w:cs="宋体" w:hint="eastAsia"/>
                <w:sz w:val="24"/>
              </w:rPr>
              <w:t>注：投标人需提供为不发达企业或注册地为少数民族地区的相关证明材料，未提供不得分。</w:t>
            </w:r>
          </w:p>
        </w:tc>
        <w:tc>
          <w:tcPr>
            <w:tcW w:w="1074"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共同类评分因素</w:t>
            </w:r>
          </w:p>
        </w:tc>
      </w:tr>
      <w:tr w:rsidR="001750D9" w:rsidTr="00D97BB9">
        <w:trPr>
          <w:trHeight w:val="402"/>
          <w:jc w:val="center"/>
        </w:trPr>
        <w:tc>
          <w:tcPr>
            <w:tcW w:w="71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7</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投标文件的规范性1%</w:t>
            </w:r>
          </w:p>
        </w:tc>
        <w:tc>
          <w:tcPr>
            <w:tcW w:w="1185"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1分</w:t>
            </w:r>
          </w:p>
        </w:tc>
        <w:tc>
          <w:tcPr>
            <w:tcW w:w="5865" w:type="dxa"/>
            <w:vAlign w:val="center"/>
          </w:tcPr>
          <w:p w:rsidR="001750D9" w:rsidRDefault="001750D9" w:rsidP="00D97BB9">
            <w:pPr>
              <w:spacing w:line="360" w:lineRule="auto"/>
              <w:ind w:firstLineChars="200" w:firstLine="480"/>
              <w:jc w:val="left"/>
              <w:rPr>
                <w:rFonts w:ascii="宋体" w:hAnsi="宋体" w:cs="宋体"/>
                <w:sz w:val="24"/>
              </w:rPr>
            </w:pPr>
            <w:r>
              <w:rPr>
                <w:rFonts w:ascii="宋体" w:hAnsi="宋体" w:cs="宋体" w:hint="eastAsia"/>
                <w:sz w:val="24"/>
              </w:rPr>
              <w:t>投标文件制作规范，没有细微偏差情形的得1分；有一项细微偏差扣0.5分，直至该项分值扣完为止。</w:t>
            </w:r>
          </w:p>
        </w:tc>
        <w:tc>
          <w:tcPr>
            <w:tcW w:w="1074" w:type="dxa"/>
            <w:vAlign w:val="center"/>
          </w:tcPr>
          <w:p w:rsidR="001750D9" w:rsidRDefault="001750D9" w:rsidP="00D97BB9">
            <w:pPr>
              <w:spacing w:line="360" w:lineRule="auto"/>
              <w:jc w:val="center"/>
              <w:rPr>
                <w:rFonts w:ascii="宋体" w:hAnsi="宋体" w:cs="宋体"/>
                <w:sz w:val="24"/>
              </w:rPr>
            </w:pPr>
            <w:r>
              <w:rPr>
                <w:rFonts w:ascii="宋体" w:hAnsi="宋体" w:cs="宋体" w:hint="eastAsia"/>
                <w:sz w:val="24"/>
              </w:rPr>
              <w:t>共同类评审因素</w:t>
            </w:r>
          </w:p>
        </w:tc>
      </w:tr>
    </w:tbl>
    <w:p w:rsidR="001750D9" w:rsidRDefault="001750D9" w:rsidP="001750D9"/>
    <w:p w:rsidR="001750D9" w:rsidRPr="009C38EF" w:rsidRDefault="001750D9" w:rsidP="009C38EF">
      <w:pPr>
        <w:rPr>
          <w:rFonts w:ascii="宋体" w:eastAsia="宋体" w:hAnsi="宋体"/>
          <w:sz w:val="32"/>
          <w:szCs w:val="32"/>
        </w:rPr>
      </w:pPr>
    </w:p>
    <w:sectPr w:rsidR="001750D9" w:rsidRPr="009C38EF" w:rsidSect="00CB59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452" w:rsidRDefault="00B66452" w:rsidP="00CB59CA">
      <w:r>
        <w:separator/>
      </w:r>
    </w:p>
  </w:endnote>
  <w:endnote w:type="continuationSeparator" w:id="1">
    <w:p w:rsidR="00B66452" w:rsidRDefault="00B66452" w:rsidP="00CB5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à.ā">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CA" w:rsidRDefault="00CB59CA">
    <w:pPr>
      <w:pStyle w:val="a3"/>
    </w:pPr>
  </w:p>
  <w:p w:rsidR="00CB59CA" w:rsidRDefault="008E115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B59CA" w:rsidRDefault="008E1150">
                <w:pPr>
                  <w:pStyle w:val="a3"/>
                </w:pPr>
                <w:r>
                  <w:rPr>
                    <w:rFonts w:hint="eastAsia"/>
                  </w:rPr>
                  <w:fldChar w:fldCharType="begin"/>
                </w:r>
                <w:r w:rsidR="003144AA">
                  <w:rPr>
                    <w:rFonts w:hint="eastAsia"/>
                  </w:rPr>
                  <w:instrText xml:space="preserve"> PAGE  \* MERGEFORMAT </w:instrText>
                </w:r>
                <w:r>
                  <w:rPr>
                    <w:rFonts w:hint="eastAsia"/>
                  </w:rPr>
                  <w:fldChar w:fldCharType="separate"/>
                </w:r>
                <w:r w:rsidR="001750D9">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452" w:rsidRDefault="00B66452" w:rsidP="00CB59CA">
      <w:r>
        <w:separator/>
      </w:r>
    </w:p>
  </w:footnote>
  <w:footnote w:type="continuationSeparator" w:id="1">
    <w:p w:rsidR="00B66452" w:rsidRDefault="00B66452" w:rsidP="00CB5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44484E"/>
    <w:rsid w:val="00066605"/>
    <w:rsid w:val="001750D9"/>
    <w:rsid w:val="003144AA"/>
    <w:rsid w:val="008E1150"/>
    <w:rsid w:val="009C38EF"/>
    <w:rsid w:val="00B66452"/>
    <w:rsid w:val="00CB59CA"/>
    <w:rsid w:val="063B06A2"/>
    <w:rsid w:val="067A32B1"/>
    <w:rsid w:val="0B2C56A7"/>
    <w:rsid w:val="1695220C"/>
    <w:rsid w:val="1BAB47D0"/>
    <w:rsid w:val="1C61634F"/>
    <w:rsid w:val="1F5678AC"/>
    <w:rsid w:val="254A62BE"/>
    <w:rsid w:val="2BFE300A"/>
    <w:rsid w:val="3106441E"/>
    <w:rsid w:val="3DAA7C6C"/>
    <w:rsid w:val="3F1409E2"/>
    <w:rsid w:val="3F896076"/>
    <w:rsid w:val="442F48CC"/>
    <w:rsid w:val="46EB47E0"/>
    <w:rsid w:val="51914C67"/>
    <w:rsid w:val="52350942"/>
    <w:rsid w:val="52AD2058"/>
    <w:rsid w:val="6AA53FB3"/>
    <w:rsid w:val="722473B9"/>
    <w:rsid w:val="730D0124"/>
    <w:rsid w:val="750B7F1A"/>
    <w:rsid w:val="75144F33"/>
    <w:rsid w:val="7544484E"/>
    <w:rsid w:val="77165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9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B59CA"/>
    <w:pPr>
      <w:tabs>
        <w:tab w:val="center" w:pos="4153"/>
        <w:tab w:val="right" w:pos="8306"/>
      </w:tabs>
      <w:snapToGrid w:val="0"/>
      <w:jc w:val="left"/>
    </w:pPr>
    <w:rPr>
      <w:sz w:val="18"/>
    </w:rPr>
  </w:style>
  <w:style w:type="paragraph" w:styleId="a4">
    <w:name w:val="header"/>
    <w:basedOn w:val="a"/>
    <w:rsid w:val="00CB59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CB59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750D9"/>
    <w:pPr>
      <w:widowControl w:val="0"/>
      <w:autoSpaceDE w:val="0"/>
      <w:autoSpaceDN w:val="0"/>
      <w:adjustRightInd w:val="0"/>
    </w:pPr>
    <w:rPr>
      <w:rFonts w:ascii="楷体à.ā" w:eastAsia="楷体à.ā" w:hAnsi="Calibri"/>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Administrator</cp:lastModifiedBy>
  <cp:revision>3</cp:revision>
  <dcterms:created xsi:type="dcterms:W3CDTF">2020-07-16T01:08:00Z</dcterms:created>
  <dcterms:modified xsi:type="dcterms:W3CDTF">2021-09-08T03:21:00Z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3DEBD0F522524E75A00013C1F1E5058E</vt:lpwstr>
  </property>
</Properties>
</file>