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C0" w:rsidRDefault="00062EA2">
      <w:pPr>
        <w:rPr>
          <w:rFonts w:ascii="宋体" w:eastAsia="宋体" w:hAnsi="宋体"/>
          <w:b/>
          <w:bCs/>
          <w:sz w:val="32"/>
          <w:szCs w:val="32"/>
        </w:rPr>
      </w:pPr>
      <w:r>
        <w:rPr>
          <w:rFonts w:ascii="宋体" w:eastAsia="宋体" w:hAnsi="宋体" w:hint="eastAsia"/>
          <w:b/>
          <w:bCs/>
          <w:sz w:val="32"/>
          <w:szCs w:val="32"/>
        </w:rPr>
        <w:t>1、技术参数和要求</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461"/>
        <w:gridCol w:w="6433"/>
        <w:gridCol w:w="784"/>
        <w:gridCol w:w="676"/>
      </w:tblGrid>
      <w:tr w:rsidR="008832C0" w:rsidRPr="0046447B" w:rsidTr="002B3354">
        <w:trPr>
          <w:trHeight w:val="264"/>
        </w:trPr>
        <w:tc>
          <w:tcPr>
            <w:tcW w:w="872" w:type="dxa"/>
            <w:shd w:val="clear" w:color="000000" w:fill="D9D9D9"/>
            <w:vAlign w:val="center"/>
          </w:tcPr>
          <w:p w:rsidR="008832C0" w:rsidRPr="0046447B" w:rsidRDefault="00062EA2">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序号</w:t>
            </w:r>
          </w:p>
        </w:tc>
        <w:tc>
          <w:tcPr>
            <w:tcW w:w="1461" w:type="dxa"/>
            <w:shd w:val="clear" w:color="000000" w:fill="D9D9D9"/>
            <w:vAlign w:val="center"/>
          </w:tcPr>
          <w:p w:rsidR="008832C0" w:rsidRPr="0046447B" w:rsidRDefault="00062EA2">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项目名称</w:t>
            </w:r>
          </w:p>
        </w:tc>
        <w:tc>
          <w:tcPr>
            <w:tcW w:w="6433" w:type="dxa"/>
            <w:shd w:val="clear" w:color="000000" w:fill="D9D9D9"/>
            <w:vAlign w:val="center"/>
          </w:tcPr>
          <w:p w:rsidR="008832C0" w:rsidRPr="0046447B" w:rsidRDefault="00062EA2">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技术参数</w:t>
            </w:r>
          </w:p>
        </w:tc>
        <w:tc>
          <w:tcPr>
            <w:tcW w:w="784" w:type="dxa"/>
            <w:shd w:val="clear" w:color="000000" w:fill="D9D9D9"/>
            <w:vAlign w:val="center"/>
          </w:tcPr>
          <w:p w:rsidR="008832C0" w:rsidRPr="0046447B" w:rsidRDefault="00062EA2">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单位</w:t>
            </w:r>
          </w:p>
        </w:tc>
        <w:tc>
          <w:tcPr>
            <w:tcW w:w="676" w:type="dxa"/>
            <w:shd w:val="clear" w:color="000000" w:fill="D9D9D9"/>
            <w:vAlign w:val="center"/>
          </w:tcPr>
          <w:p w:rsidR="008832C0" w:rsidRPr="0046447B" w:rsidRDefault="00062EA2">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数量</w:t>
            </w:r>
          </w:p>
        </w:tc>
      </w:tr>
      <w:tr w:rsidR="008C21C6" w:rsidRPr="0046447B" w:rsidTr="002B3354">
        <w:trPr>
          <w:trHeight w:val="264"/>
        </w:trPr>
        <w:tc>
          <w:tcPr>
            <w:tcW w:w="872" w:type="dxa"/>
            <w:shd w:val="clear" w:color="auto" w:fill="auto"/>
            <w:vAlign w:val="center"/>
          </w:tcPr>
          <w:p w:rsidR="008C21C6" w:rsidRPr="0046447B" w:rsidRDefault="008C21C6">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1</w:t>
            </w:r>
          </w:p>
        </w:tc>
        <w:tc>
          <w:tcPr>
            <w:tcW w:w="1461" w:type="dxa"/>
            <w:shd w:val="clear" w:color="auto" w:fill="auto"/>
            <w:vAlign w:val="center"/>
          </w:tcPr>
          <w:p w:rsidR="008C21C6" w:rsidRPr="0046447B" w:rsidRDefault="008C21C6">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下一代防火墙</w:t>
            </w:r>
          </w:p>
        </w:tc>
        <w:tc>
          <w:tcPr>
            <w:tcW w:w="6433" w:type="dxa"/>
            <w:shd w:val="clear" w:color="auto" w:fill="auto"/>
            <w:vAlign w:val="center"/>
          </w:tcPr>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1、</w:t>
            </w:r>
            <w:r w:rsidR="00E7104C" w:rsidRPr="002B3354">
              <w:rPr>
                <w:rFonts w:ascii="宋体" w:eastAsia="宋体" w:hAnsi="宋体" w:cs="宋体" w:hint="eastAsia"/>
                <w:color w:val="000000"/>
                <w:kern w:val="0"/>
                <w:szCs w:val="21"/>
              </w:rPr>
              <w:t>▲</w:t>
            </w:r>
            <w:r w:rsidRPr="002B3354">
              <w:rPr>
                <w:rFonts w:ascii="宋体" w:eastAsia="宋体" w:hAnsi="宋体" w:cs="宋体" w:hint="eastAsia"/>
                <w:color w:val="000000"/>
                <w:kern w:val="0"/>
                <w:szCs w:val="21"/>
              </w:rPr>
              <w:t>网络层吞吐量≥4Gbps，应用层吞吐量≥2Gbps，并发连接数≥200万，新建连接数（CPS）≥6万;规格：1U，内存大小≥4G，硬盘容量≥128GB SSD，电源：单电源，≥8千兆电口,≥2千兆光口SFP。</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2、▲产品内置应用特征识别库，支持不少于2980种应用规则，支持对游戏、下载工具、IM聊天工具、视频软件、股票软件等类型应用进行检测与控制。（需提供产品功能截图证明加盖投标人公章）</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3、产品具备至少对ARP Flood、ICMP Flood、SYN Flood、DNS Flood、UDP Flood等泛洪类攻击防护的能力，并支持IP地址扫描和端口扫描攻击防护。</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4、产品支持在单条安全策略中可同时启用入侵防御、防病毒、URL过滤、文件过滤、Web应用防护等安全功能，简化安全策略部署。</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5、▲产品支持对多重压缩文件的病毒检测能力，支持不小于12层压缩文件病毒检测与处置。</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6、▲产品具备Web应用攻击检测引擎，支持文件包含攻击、抵御注入式攻击（包含SQL注入、系统命令注入）、信息泄露攻击、跨站脚本（XSS）、网站扫描、WEBSHELL后门攻击、跨站请求伪造、目录遍历攻击、WEB整站系统漏洞等应用层攻击行为，安全特征规则超过3320种。（需提供产品功能截图证明加盖投标人公章）</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7、产品支持服务器自动侦测功能，采用双向流量检测技术识别网络中的服务器对象。</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8、产品支持安全规则库支持在线自动升级、手动升级升级等多种方式</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9、产品支持主主和主备两种双机部署方式。</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10、产品支持三权分立功能，根据用户权限可设置为安全管理员、审计员和系统管理员三种角色。</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11、产品支持管理员双因素认证，包含用户名/密码和Key等不同方式。</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 xml:space="preserve">12、产品支持僵尸网络检测功能，防止失陷主机威胁内网扩散，需提供公安部计算机信息系统安全产品质量监督检验中心、中国信息安全测评中心、中华人民共和国国家版权局、公安部信息安全产品检测中心之中任意一家检测机构出具关于“僵尸网络检测”的相关证书。 </w:t>
            </w:r>
          </w:p>
          <w:p w:rsidR="008C21C6" w:rsidRPr="002B3354" w:rsidRDefault="008C21C6" w:rsidP="008C21C6">
            <w:pPr>
              <w:widowControl/>
              <w:jc w:val="left"/>
              <w:rPr>
                <w:rFonts w:ascii="宋体" w:eastAsia="宋体" w:hAnsi="宋体" w:cs="宋体"/>
                <w:color w:val="000000"/>
                <w:kern w:val="0"/>
                <w:szCs w:val="21"/>
              </w:rPr>
            </w:pPr>
            <w:r w:rsidRPr="002B3354">
              <w:rPr>
                <w:rFonts w:ascii="宋体" w:eastAsia="宋体" w:hAnsi="宋体" w:cs="宋体" w:hint="eastAsia"/>
                <w:color w:val="000000"/>
                <w:kern w:val="0"/>
                <w:szCs w:val="21"/>
              </w:rPr>
              <w:t>13、产品支持应用控制策略生命周期管理，包含安全策略的变更时间、变更类型和策略变更用户，并对变更内容记录日志，方便安全策略管控；</w:t>
            </w:r>
          </w:p>
          <w:p w:rsidR="008C21C6" w:rsidRPr="002B3354" w:rsidRDefault="008C21C6" w:rsidP="008C21C6">
            <w:pPr>
              <w:widowControl/>
              <w:jc w:val="left"/>
              <w:rPr>
                <w:rFonts w:ascii="宋体" w:eastAsia="宋体" w:hAnsi="宋体" w:cs="宋体"/>
                <w:b/>
                <w:bCs/>
                <w:color w:val="000000"/>
                <w:kern w:val="0"/>
                <w:szCs w:val="21"/>
              </w:rPr>
            </w:pPr>
            <w:r w:rsidRPr="002B3354">
              <w:rPr>
                <w:rFonts w:ascii="宋体" w:eastAsia="宋体" w:hAnsi="宋体" w:cs="宋体" w:hint="eastAsia"/>
                <w:color w:val="000000"/>
                <w:kern w:val="0"/>
                <w:szCs w:val="21"/>
              </w:rPr>
              <w:t>14、提供三年售后服务支持，三年硬件质保、软件升级、安全特征库升级服务。</w:t>
            </w:r>
          </w:p>
        </w:tc>
        <w:tc>
          <w:tcPr>
            <w:tcW w:w="784" w:type="dxa"/>
            <w:shd w:val="clear" w:color="auto" w:fill="auto"/>
            <w:vAlign w:val="center"/>
          </w:tcPr>
          <w:p w:rsidR="008C21C6" w:rsidRPr="0046447B" w:rsidRDefault="0046447B">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台</w:t>
            </w:r>
          </w:p>
        </w:tc>
        <w:tc>
          <w:tcPr>
            <w:tcW w:w="676" w:type="dxa"/>
            <w:shd w:val="clear" w:color="auto" w:fill="auto"/>
            <w:vAlign w:val="center"/>
          </w:tcPr>
          <w:p w:rsidR="008C21C6" w:rsidRPr="0046447B" w:rsidRDefault="008C21C6">
            <w:pPr>
              <w:widowControl/>
              <w:jc w:val="center"/>
              <w:rPr>
                <w:rFonts w:ascii="宋体" w:eastAsia="宋体" w:hAnsi="宋体" w:cs="宋体"/>
                <w:b/>
                <w:bCs/>
                <w:color w:val="000000"/>
                <w:kern w:val="0"/>
                <w:sz w:val="24"/>
                <w:szCs w:val="24"/>
              </w:rPr>
            </w:pPr>
            <w:r w:rsidRPr="0046447B">
              <w:rPr>
                <w:rFonts w:ascii="宋体" w:eastAsia="宋体" w:hAnsi="宋体" w:cs="宋体" w:hint="eastAsia"/>
                <w:b/>
                <w:bCs/>
                <w:color w:val="000000"/>
                <w:kern w:val="0"/>
                <w:sz w:val="24"/>
                <w:szCs w:val="24"/>
              </w:rPr>
              <w:t>1</w:t>
            </w:r>
          </w:p>
        </w:tc>
      </w:tr>
      <w:tr w:rsidR="008832C0" w:rsidRPr="0046447B" w:rsidTr="002B3354">
        <w:trPr>
          <w:trHeight w:val="530"/>
        </w:trPr>
        <w:tc>
          <w:tcPr>
            <w:tcW w:w="872" w:type="dxa"/>
            <w:shd w:val="clear" w:color="auto" w:fill="auto"/>
            <w:vAlign w:val="center"/>
          </w:tcPr>
          <w:p w:rsidR="008832C0" w:rsidRPr="0046447B" w:rsidRDefault="008832C0">
            <w:pPr>
              <w:widowControl/>
              <w:jc w:val="left"/>
              <w:rPr>
                <w:rFonts w:ascii="Calibri" w:eastAsia="DengXian" w:hAnsi="Calibri" w:cs="Calibri" w:hint="eastAsia"/>
                <w:color w:val="000000"/>
                <w:kern w:val="0"/>
                <w:sz w:val="24"/>
                <w:szCs w:val="24"/>
              </w:rPr>
            </w:pPr>
          </w:p>
        </w:tc>
        <w:tc>
          <w:tcPr>
            <w:tcW w:w="1461" w:type="dxa"/>
            <w:shd w:val="clear" w:color="auto" w:fill="auto"/>
            <w:vAlign w:val="center"/>
          </w:tcPr>
          <w:p w:rsidR="008832C0" w:rsidRPr="0046447B" w:rsidRDefault="008832C0">
            <w:pPr>
              <w:widowControl/>
              <w:jc w:val="left"/>
              <w:rPr>
                <w:rFonts w:ascii="Calibri" w:eastAsia="DengXian" w:hAnsi="Calibri" w:cs="Calibri" w:hint="eastAsia"/>
                <w:color w:val="000000"/>
                <w:kern w:val="0"/>
                <w:sz w:val="24"/>
                <w:szCs w:val="24"/>
              </w:rPr>
            </w:pPr>
          </w:p>
        </w:tc>
        <w:tc>
          <w:tcPr>
            <w:tcW w:w="6433" w:type="dxa"/>
            <w:shd w:val="clear" w:color="auto" w:fill="auto"/>
            <w:vAlign w:val="center"/>
          </w:tcPr>
          <w:p w:rsidR="008832C0" w:rsidRPr="002B3354" w:rsidRDefault="00062EA2" w:rsidP="00E7104C">
            <w:pPr>
              <w:widowControl/>
              <w:jc w:val="left"/>
              <w:rPr>
                <w:rFonts w:ascii="宋体" w:eastAsia="宋体" w:hAnsi="宋体" w:cs="宋体"/>
                <w:b/>
                <w:bCs/>
                <w:color w:val="000000"/>
                <w:kern w:val="0"/>
                <w:szCs w:val="21"/>
              </w:rPr>
            </w:pPr>
            <w:r w:rsidRPr="002B3354">
              <w:rPr>
                <w:rFonts w:ascii="宋体" w:eastAsia="宋体" w:hAnsi="宋体" w:cs="宋体" w:hint="eastAsia"/>
                <w:b/>
                <w:bCs/>
                <w:color w:val="000000"/>
                <w:kern w:val="0"/>
                <w:szCs w:val="21"/>
              </w:rPr>
              <w:t>注：标▲号项为重要参数。</w:t>
            </w:r>
          </w:p>
        </w:tc>
        <w:tc>
          <w:tcPr>
            <w:tcW w:w="784" w:type="dxa"/>
            <w:shd w:val="clear" w:color="auto" w:fill="auto"/>
            <w:vAlign w:val="center"/>
          </w:tcPr>
          <w:p w:rsidR="008832C0" w:rsidRPr="0046447B" w:rsidRDefault="008832C0">
            <w:pPr>
              <w:widowControl/>
              <w:jc w:val="center"/>
              <w:rPr>
                <w:rFonts w:ascii="宋体" w:eastAsia="宋体" w:hAnsi="宋体" w:cs="宋体"/>
                <w:b/>
                <w:bCs/>
                <w:color w:val="000000"/>
                <w:kern w:val="0"/>
                <w:sz w:val="24"/>
                <w:szCs w:val="24"/>
              </w:rPr>
            </w:pPr>
          </w:p>
        </w:tc>
        <w:tc>
          <w:tcPr>
            <w:tcW w:w="676" w:type="dxa"/>
            <w:shd w:val="clear" w:color="auto" w:fill="auto"/>
            <w:vAlign w:val="center"/>
          </w:tcPr>
          <w:p w:rsidR="008832C0" w:rsidRPr="0046447B" w:rsidRDefault="008832C0">
            <w:pPr>
              <w:widowControl/>
              <w:jc w:val="center"/>
              <w:rPr>
                <w:rFonts w:ascii="宋体" w:eastAsia="宋体" w:hAnsi="宋体" w:cs="宋体"/>
                <w:b/>
                <w:bCs/>
                <w:color w:val="000000"/>
                <w:kern w:val="0"/>
                <w:sz w:val="24"/>
                <w:szCs w:val="24"/>
              </w:rPr>
            </w:pPr>
          </w:p>
        </w:tc>
      </w:tr>
    </w:tbl>
    <w:p w:rsidR="00E40DC2" w:rsidRDefault="00E40DC2">
      <w:pPr>
        <w:rPr>
          <w:rFonts w:ascii="宋体" w:eastAsia="宋体" w:hAnsi="宋体" w:hint="eastAsia"/>
          <w:b/>
          <w:bCs/>
          <w:sz w:val="32"/>
          <w:szCs w:val="32"/>
        </w:rPr>
      </w:pPr>
    </w:p>
    <w:p w:rsidR="008832C0" w:rsidRDefault="00062EA2">
      <w:pPr>
        <w:rPr>
          <w:rFonts w:ascii="宋体" w:eastAsia="宋体" w:hAnsi="宋体"/>
        </w:rPr>
      </w:pPr>
      <w:r>
        <w:rPr>
          <w:rFonts w:ascii="宋体" w:eastAsia="宋体" w:hAnsi="宋体" w:hint="eastAsia"/>
          <w:b/>
          <w:bCs/>
          <w:sz w:val="32"/>
          <w:szCs w:val="32"/>
        </w:rPr>
        <w:t>2、综合评分细则</w:t>
      </w:r>
    </w:p>
    <w:p w:rsidR="008832C0" w:rsidRDefault="008832C0">
      <w:pPr>
        <w:rPr>
          <w:rFonts w:ascii="宋体" w:eastAsia="宋体" w:hAnsi="宋体"/>
        </w:rPr>
      </w:pPr>
    </w:p>
    <w:tbl>
      <w:tblPr>
        <w:tblW w:w="10005" w:type="dxa"/>
        <w:tblLook w:val="04A0" w:firstRow="1" w:lastRow="0" w:firstColumn="1" w:lastColumn="0" w:noHBand="0" w:noVBand="1"/>
      </w:tblPr>
      <w:tblGrid>
        <w:gridCol w:w="505"/>
        <w:gridCol w:w="1353"/>
        <w:gridCol w:w="7177"/>
        <w:gridCol w:w="970"/>
      </w:tblGrid>
      <w:tr w:rsidR="008832C0" w:rsidRPr="00AC3B58" w:rsidTr="003616E5">
        <w:trPr>
          <w:trHeight w:val="54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序号</w:t>
            </w:r>
          </w:p>
        </w:tc>
        <w:tc>
          <w:tcPr>
            <w:tcW w:w="0" w:type="auto"/>
            <w:tcBorders>
              <w:top w:val="single" w:sz="8" w:space="0" w:color="auto"/>
              <w:left w:val="nil"/>
              <w:bottom w:val="single" w:sz="8" w:space="0" w:color="auto"/>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评审项目</w:t>
            </w:r>
          </w:p>
        </w:tc>
        <w:tc>
          <w:tcPr>
            <w:tcW w:w="0" w:type="auto"/>
            <w:tcBorders>
              <w:top w:val="single" w:sz="8" w:space="0" w:color="auto"/>
              <w:left w:val="nil"/>
              <w:bottom w:val="single" w:sz="8" w:space="0" w:color="auto"/>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评分标准</w:t>
            </w:r>
          </w:p>
        </w:tc>
        <w:tc>
          <w:tcPr>
            <w:tcW w:w="970" w:type="dxa"/>
            <w:tcBorders>
              <w:top w:val="single" w:sz="8" w:space="0" w:color="auto"/>
              <w:left w:val="nil"/>
              <w:bottom w:val="single" w:sz="8" w:space="0" w:color="auto"/>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分值</w:t>
            </w:r>
          </w:p>
        </w:tc>
      </w:tr>
      <w:tr w:rsidR="008832C0" w:rsidRPr="00AC3B58" w:rsidTr="003616E5">
        <w:trPr>
          <w:trHeight w:val="887"/>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投标报价 (30分)</w:t>
            </w: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062EA2">
            <w:pPr>
              <w:widowControl/>
              <w:rPr>
                <w:rFonts w:ascii="宋体" w:eastAsia="宋体" w:hAnsi="宋体" w:cs="宋体"/>
                <w:color w:val="000000"/>
                <w:kern w:val="0"/>
                <w:szCs w:val="21"/>
              </w:rPr>
            </w:pPr>
            <w:r w:rsidRPr="003616E5">
              <w:rPr>
                <w:rFonts w:ascii="宋体" w:eastAsia="宋体" w:hAnsi="宋体" w:cs="宋体" w:hint="eastAsia"/>
                <w:color w:val="000000"/>
                <w:kern w:val="0"/>
                <w:szCs w:val="21"/>
              </w:rPr>
              <w:t>1、经评标委员会评审，通过资格性和符合性审查，且投标报价最低的投标人的投标报价作为评标基准价。备注：投标人报价明显偏低，评标委员会认定具有恶性竞争嫌疑，要求其作出解释，其解释被评委会接受，可确定其报价合理；如不被评委会接受，评委会将不予认可，将作为无效投标书处理。</w:t>
            </w:r>
          </w:p>
        </w:tc>
        <w:tc>
          <w:tcPr>
            <w:tcW w:w="970" w:type="dxa"/>
            <w:vMerge w:val="restart"/>
            <w:tcBorders>
              <w:top w:val="nil"/>
              <w:left w:val="single" w:sz="8" w:space="0" w:color="auto"/>
              <w:bottom w:val="single" w:sz="8" w:space="0" w:color="000000"/>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30分</w:t>
            </w:r>
          </w:p>
        </w:tc>
      </w:tr>
      <w:tr w:rsidR="008832C0" w:rsidRPr="00AC3B58" w:rsidTr="003616E5">
        <w:trPr>
          <w:trHeight w:val="887"/>
        </w:trPr>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062EA2">
            <w:pPr>
              <w:widowControl/>
              <w:rPr>
                <w:rFonts w:ascii="宋体" w:eastAsia="宋体" w:hAnsi="宋体" w:cs="宋体"/>
                <w:color w:val="000000"/>
                <w:kern w:val="0"/>
                <w:szCs w:val="21"/>
              </w:rPr>
            </w:pPr>
            <w:r w:rsidRPr="003616E5">
              <w:rPr>
                <w:rFonts w:ascii="宋体" w:eastAsia="宋体" w:hAnsi="宋体" w:cs="宋体" w:hint="eastAsia"/>
                <w:color w:val="000000"/>
                <w:kern w:val="0"/>
                <w:szCs w:val="21"/>
              </w:rPr>
              <w:t>2、投标报价得分=(评标基准价／投标报价)×30</w:t>
            </w:r>
            <w:r w:rsidR="007A2DE0" w:rsidRPr="003616E5">
              <w:rPr>
                <w:rFonts w:ascii="宋体" w:eastAsia="宋体" w:hAnsi="宋体" w:cs="宋体" w:hint="eastAsia"/>
                <w:color w:val="000000"/>
                <w:kern w:val="0"/>
                <w:szCs w:val="21"/>
              </w:rPr>
              <w:t>，得分保留2位小数。</w:t>
            </w:r>
          </w:p>
        </w:tc>
        <w:tc>
          <w:tcPr>
            <w:tcW w:w="970" w:type="dxa"/>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r>
      <w:tr w:rsidR="008832C0" w:rsidRPr="00AC3B58" w:rsidTr="003616E5">
        <w:trPr>
          <w:trHeight w:val="887"/>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8832C0" w:rsidRPr="00AC3B58" w:rsidRDefault="00062EA2">
            <w:pPr>
              <w:widowControl/>
              <w:jc w:val="center"/>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技术指标和配置（</w:t>
            </w:r>
            <w:r w:rsidR="00777910" w:rsidRPr="00AC3B58">
              <w:rPr>
                <w:rFonts w:ascii="宋体" w:eastAsia="宋体" w:hAnsi="宋体" w:cs="宋体"/>
                <w:color w:val="000000"/>
                <w:kern w:val="0"/>
                <w:sz w:val="24"/>
                <w:szCs w:val="24"/>
              </w:rPr>
              <w:t>30</w:t>
            </w:r>
            <w:r w:rsidRPr="00AC3B58">
              <w:rPr>
                <w:rFonts w:ascii="宋体" w:eastAsia="宋体" w:hAnsi="宋体" w:cs="宋体" w:hint="eastAsia"/>
                <w:color w:val="000000"/>
                <w:kern w:val="0"/>
                <w:sz w:val="24"/>
                <w:szCs w:val="24"/>
              </w:rPr>
              <w:t>分）</w:t>
            </w: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062EA2" w:rsidP="0076073C">
            <w:pPr>
              <w:widowControl/>
              <w:rPr>
                <w:rFonts w:ascii="宋体" w:eastAsia="宋体" w:hAnsi="宋体" w:cs="宋体"/>
                <w:color w:val="000000"/>
                <w:kern w:val="0"/>
                <w:szCs w:val="21"/>
              </w:rPr>
            </w:pPr>
            <w:r w:rsidRPr="003616E5">
              <w:rPr>
                <w:rFonts w:ascii="宋体" w:eastAsia="宋体" w:hAnsi="宋体" w:cs="宋体" w:hint="eastAsia"/>
                <w:color w:val="000000"/>
                <w:kern w:val="0"/>
                <w:szCs w:val="21"/>
              </w:rPr>
              <w:t>根据招标文件的技术参数配置及要求进行评审，技术参数配置及要求完全满足招标文件得</w:t>
            </w:r>
            <w:r w:rsidR="00777910" w:rsidRPr="003616E5">
              <w:rPr>
                <w:rFonts w:ascii="宋体" w:eastAsia="宋体" w:hAnsi="宋体" w:cs="宋体"/>
                <w:color w:val="000000"/>
                <w:kern w:val="0"/>
                <w:szCs w:val="21"/>
              </w:rPr>
              <w:t>30</w:t>
            </w:r>
            <w:r w:rsidRPr="003616E5">
              <w:rPr>
                <w:rFonts w:ascii="宋体" w:eastAsia="宋体" w:hAnsi="宋体" w:cs="宋体" w:hint="eastAsia"/>
                <w:color w:val="000000"/>
                <w:kern w:val="0"/>
                <w:szCs w:val="21"/>
              </w:rPr>
              <w:t>分，其中带“▲”条款技术参数，每有一项不满足扣</w:t>
            </w:r>
            <w:r w:rsidR="0076073C" w:rsidRPr="003616E5">
              <w:rPr>
                <w:rFonts w:ascii="宋体" w:eastAsia="宋体" w:hAnsi="宋体" w:cs="宋体"/>
                <w:color w:val="000000"/>
                <w:kern w:val="0"/>
                <w:szCs w:val="21"/>
              </w:rPr>
              <w:t>2</w:t>
            </w:r>
            <w:r w:rsidRPr="003616E5">
              <w:rPr>
                <w:rFonts w:ascii="宋体" w:eastAsia="宋体" w:hAnsi="宋体" w:cs="宋体" w:hint="eastAsia"/>
                <w:color w:val="000000"/>
                <w:kern w:val="0"/>
                <w:szCs w:val="21"/>
              </w:rPr>
              <w:t>分，非“▲”条款，每有一项不满足扣</w:t>
            </w:r>
            <w:r w:rsidR="0076073C" w:rsidRPr="003616E5">
              <w:rPr>
                <w:rFonts w:ascii="宋体" w:eastAsia="宋体" w:hAnsi="宋体" w:cs="宋体"/>
                <w:color w:val="000000"/>
                <w:kern w:val="0"/>
                <w:szCs w:val="21"/>
              </w:rPr>
              <w:t>1</w:t>
            </w:r>
            <w:r w:rsidRPr="003616E5">
              <w:rPr>
                <w:rFonts w:ascii="宋体" w:eastAsia="宋体" w:hAnsi="宋体" w:cs="宋体" w:hint="eastAsia"/>
                <w:color w:val="000000"/>
                <w:kern w:val="0"/>
                <w:szCs w:val="21"/>
              </w:rPr>
              <w:t>分，扣完为止；(中标人在中标后供货前需向采购方提供样品并根据技术参数要求进行逐条演示,完全符合招标文件要求方可供货，否则按虚假应标处理)</w:t>
            </w:r>
          </w:p>
        </w:tc>
        <w:tc>
          <w:tcPr>
            <w:tcW w:w="970" w:type="dxa"/>
            <w:tcBorders>
              <w:top w:val="nil"/>
              <w:left w:val="nil"/>
              <w:bottom w:val="single" w:sz="8" w:space="0" w:color="auto"/>
              <w:right w:val="single" w:sz="8" w:space="0" w:color="auto"/>
            </w:tcBorders>
            <w:shd w:val="clear" w:color="auto" w:fill="auto"/>
            <w:vAlign w:val="center"/>
          </w:tcPr>
          <w:p w:rsidR="008832C0" w:rsidRPr="00AC3B58" w:rsidRDefault="00777910">
            <w:pPr>
              <w:widowControl/>
              <w:rPr>
                <w:rFonts w:ascii="宋体" w:eastAsia="宋体" w:hAnsi="宋体" w:cs="宋体"/>
                <w:color w:val="000000"/>
                <w:kern w:val="0"/>
                <w:sz w:val="24"/>
                <w:szCs w:val="24"/>
              </w:rPr>
            </w:pPr>
            <w:r w:rsidRPr="00AC3B58">
              <w:rPr>
                <w:rFonts w:ascii="宋体" w:eastAsia="宋体" w:hAnsi="宋体" w:cs="宋体"/>
                <w:color w:val="000000"/>
                <w:kern w:val="0"/>
                <w:sz w:val="24"/>
                <w:szCs w:val="24"/>
              </w:rPr>
              <w:t>3</w:t>
            </w:r>
            <w:r w:rsidR="00AC3B58">
              <w:rPr>
                <w:rFonts w:ascii="宋体" w:eastAsia="宋体" w:hAnsi="宋体" w:cs="宋体"/>
                <w:color w:val="000000"/>
                <w:kern w:val="0"/>
                <w:sz w:val="24"/>
                <w:szCs w:val="24"/>
              </w:rPr>
              <w:t>0</w:t>
            </w:r>
            <w:r w:rsidR="00062EA2" w:rsidRPr="00AC3B58">
              <w:rPr>
                <w:rFonts w:ascii="宋体" w:eastAsia="宋体" w:hAnsi="宋体" w:cs="宋体" w:hint="eastAsia"/>
                <w:color w:val="000000"/>
                <w:kern w:val="0"/>
                <w:sz w:val="24"/>
                <w:szCs w:val="24"/>
              </w:rPr>
              <w:t>分</w:t>
            </w:r>
          </w:p>
        </w:tc>
      </w:tr>
      <w:tr w:rsidR="008832C0" w:rsidRPr="00AC3B58" w:rsidTr="003616E5">
        <w:trPr>
          <w:trHeight w:val="887"/>
        </w:trPr>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8832C0" w:rsidRPr="00AC3B58" w:rsidRDefault="00062EA2">
            <w:pPr>
              <w:widowControl/>
              <w:jc w:val="center"/>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生产厂家信誉及综合实力（</w:t>
            </w:r>
            <w:r w:rsidR="00777910" w:rsidRPr="00AC3B58">
              <w:rPr>
                <w:rFonts w:ascii="宋体" w:eastAsia="宋体" w:hAnsi="宋体" w:cs="宋体"/>
                <w:color w:val="000000"/>
                <w:kern w:val="0"/>
                <w:sz w:val="24"/>
                <w:szCs w:val="24"/>
              </w:rPr>
              <w:t>2</w:t>
            </w:r>
            <w:r w:rsidR="00AC3B58">
              <w:rPr>
                <w:rFonts w:ascii="宋体" w:eastAsia="宋体" w:hAnsi="宋体" w:cs="宋体"/>
                <w:color w:val="000000"/>
                <w:kern w:val="0"/>
                <w:sz w:val="24"/>
                <w:szCs w:val="24"/>
              </w:rPr>
              <w:t>2</w:t>
            </w:r>
            <w:r w:rsidRPr="00AC3B58">
              <w:rPr>
                <w:rFonts w:ascii="宋体" w:eastAsia="宋体" w:hAnsi="宋体" w:cs="宋体" w:hint="eastAsia"/>
                <w:color w:val="000000"/>
                <w:kern w:val="0"/>
                <w:sz w:val="24"/>
                <w:szCs w:val="24"/>
              </w:rPr>
              <w:t>分）</w:t>
            </w: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062EA2">
            <w:pPr>
              <w:widowControl/>
              <w:rPr>
                <w:rFonts w:ascii="宋体" w:eastAsia="宋体" w:hAnsi="宋体" w:cs="宋体"/>
                <w:color w:val="000000"/>
                <w:kern w:val="0"/>
                <w:szCs w:val="21"/>
              </w:rPr>
            </w:pPr>
            <w:r w:rsidRPr="003616E5">
              <w:rPr>
                <w:rFonts w:ascii="宋体" w:eastAsia="宋体" w:hAnsi="宋体" w:cs="宋体" w:hint="eastAsia"/>
                <w:color w:val="000000"/>
                <w:kern w:val="0"/>
                <w:szCs w:val="21"/>
              </w:rPr>
              <w:t>1、防火墙制造商构建的安全运营解决方案符合Q/KXY CS009-2019《面向云计算的安全运营中心能力要求》标准，获得云计算开源产业联盟和中国信息通信研究院的认证，提供认证证书的得</w:t>
            </w:r>
            <w:r w:rsidR="00777910" w:rsidRPr="003616E5">
              <w:rPr>
                <w:rFonts w:ascii="宋体" w:eastAsia="宋体" w:hAnsi="宋体" w:cs="宋体"/>
                <w:color w:val="000000"/>
                <w:kern w:val="0"/>
                <w:szCs w:val="21"/>
              </w:rPr>
              <w:t>5</w:t>
            </w:r>
            <w:r w:rsidRPr="003616E5">
              <w:rPr>
                <w:rFonts w:ascii="宋体" w:eastAsia="宋体" w:hAnsi="宋体" w:cs="宋体" w:hint="eastAsia"/>
                <w:color w:val="000000"/>
                <w:kern w:val="0"/>
                <w:szCs w:val="21"/>
              </w:rPr>
              <w:t>分，不提供不得分，提供相关证明材料并加盖投标人公章。</w:t>
            </w:r>
          </w:p>
        </w:tc>
        <w:tc>
          <w:tcPr>
            <w:tcW w:w="970" w:type="dxa"/>
            <w:tcBorders>
              <w:top w:val="nil"/>
              <w:left w:val="nil"/>
              <w:bottom w:val="single" w:sz="8" w:space="0" w:color="auto"/>
              <w:right w:val="single" w:sz="8" w:space="0" w:color="auto"/>
            </w:tcBorders>
            <w:shd w:val="clear" w:color="auto" w:fill="auto"/>
            <w:vAlign w:val="center"/>
          </w:tcPr>
          <w:p w:rsidR="008832C0" w:rsidRPr="00AC3B58" w:rsidRDefault="00777910">
            <w:pPr>
              <w:widowControl/>
              <w:rPr>
                <w:rFonts w:ascii="宋体" w:eastAsia="宋体" w:hAnsi="宋体" w:cs="宋体"/>
                <w:color w:val="000000"/>
                <w:kern w:val="0"/>
                <w:sz w:val="24"/>
                <w:szCs w:val="24"/>
              </w:rPr>
            </w:pPr>
            <w:r w:rsidRPr="00AC3B58">
              <w:rPr>
                <w:rFonts w:ascii="宋体" w:eastAsia="宋体" w:hAnsi="宋体" w:cs="宋体"/>
                <w:color w:val="000000"/>
                <w:kern w:val="0"/>
                <w:sz w:val="24"/>
                <w:szCs w:val="24"/>
              </w:rPr>
              <w:t>5</w:t>
            </w:r>
            <w:r w:rsidR="00062EA2" w:rsidRPr="00AC3B58">
              <w:rPr>
                <w:rFonts w:ascii="宋体" w:eastAsia="宋体" w:hAnsi="宋体" w:cs="宋体" w:hint="eastAsia"/>
                <w:color w:val="000000"/>
                <w:kern w:val="0"/>
                <w:sz w:val="24"/>
                <w:szCs w:val="24"/>
              </w:rPr>
              <w:t>分</w:t>
            </w:r>
          </w:p>
        </w:tc>
      </w:tr>
      <w:tr w:rsidR="008832C0" w:rsidRPr="00AC3B58" w:rsidTr="003616E5">
        <w:trPr>
          <w:trHeight w:val="887"/>
        </w:trPr>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062EA2">
            <w:pPr>
              <w:widowControl/>
              <w:rPr>
                <w:rFonts w:ascii="宋体" w:eastAsia="宋体" w:hAnsi="宋体" w:cs="宋体"/>
                <w:color w:val="000000"/>
                <w:kern w:val="0"/>
                <w:szCs w:val="21"/>
              </w:rPr>
            </w:pPr>
            <w:r w:rsidRPr="003616E5">
              <w:rPr>
                <w:rFonts w:ascii="宋体" w:eastAsia="宋体" w:hAnsi="宋体" w:cs="宋体" w:hint="eastAsia"/>
                <w:color w:val="000000"/>
                <w:kern w:val="0"/>
                <w:szCs w:val="21"/>
              </w:rPr>
              <w:t>2、</w:t>
            </w:r>
            <w:r w:rsidR="00777910" w:rsidRPr="003616E5">
              <w:rPr>
                <w:rFonts w:ascii="宋体" w:eastAsia="宋体" w:hAnsi="宋体" w:cs="宋体"/>
                <w:color w:val="000000"/>
                <w:kern w:val="0"/>
                <w:szCs w:val="21"/>
              </w:rPr>
              <w:t>为保证</w:t>
            </w:r>
            <w:r w:rsidR="00777910" w:rsidRPr="003616E5">
              <w:rPr>
                <w:rFonts w:ascii="宋体" w:eastAsia="宋体" w:hAnsi="宋体" w:cs="宋体" w:hint="eastAsia"/>
                <w:color w:val="000000"/>
                <w:kern w:val="0"/>
                <w:szCs w:val="21"/>
              </w:rPr>
              <w:t>防火墙</w:t>
            </w:r>
            <w:r w:rsidR="00777910" w:rsidRPr="003616E5">
              <w:rPr>
                <w:rFonts w:ascii="宋体" w:eastAsia="宋体" w:hAnsi="宋体" w:cs="宋体"/>
                <w:color w:val="000000"/>
                <w:kern w:val="0"/>
                <w:szCs w:val="21"/>
              </w:rPr>
              <w:t>产品对环境的适配能力，所投</w:t>
            </w:r>
            <w:r w:rsidR="00777910" w:rsidRPr="003616E5">
              <w:rPr>
                <w:rFonts w:ascii="宋体" w:eastAsia="宋体" w:hAnsi="宋体" w:cs="宋体" w:hint="eastAsia"/>
                <w:color w:val="000000"/>
                <w:kern w:val="0"/>
                <w:szCs w:val="21"/>
              </w:rPr>
              <w:t>防火墙</w:t>
            </w:r>
            <w:r w:rsidR="00777910" w:rsidRPr="003616E5">
              <w:rPr>
                <w:rFonts w:ascii="宋体" w:eastAsia="宋体" w:hAnsi="宋体" w:cs="宋体"/>
                <w:color w:val="000000"/>
                <w:kern w:val="0"/>
                <w:szCs w:val="21"/>
              </w:rPr>
              <w:t>软件成熟度模型CS-CMMI5认证，提供相关证明材料得</w:t>
            </w:r>
            <w:r w:rsidR="00AC3B58" w:rsidRPr="003616E5">
              <w:rPr>
                <w:rFonts w:ascii="宋体" w:eastAsia="宋体" w:hAnsi="宋体" w:cs="宋体"/>
                <w:color w:val="000000"/>
                <w:kern w:val="0"/>
                <w:szCs w:val="21"/>
              </w:rPr>
              <w:t>5</w:t>
            </w:r>
            <w:r w:rsidR="00777910" w:rsidRPr="003616E5">
              <w:rPr>
                <w:rFonts w:ascii="宋体" w:eastAsia="宋体" w:hAnsi="宋体" w:cs="宋体"/>
                <w:color w:val="000000"/>
                <w:kern w:val="0"/>
                <w:szCs w:val="21"/>
              </w:rPr>
              <w:t>分；（提供相关证明材料并加盖投标人公章</w:t>
            </w:r>
            <w:r w:rsidR="00777910" w:rsidRPr="003616E5">
              <w:rPr>
                <w:rFonts w:ascii="宋体" w:eastAsia="宋体" w:hAnsi="宋体" w:cs="宋体" w:hint="eastAsia"/>
                <w:color w:val="000000"/>
                <w:kern w:val="0"/>
                <w:szCs w:val="21"/>
              </w:rPr>
              <w:t>）</w:t>
            </w:r>
            <w:r w:rsidRPr="003616E5">
              <w:rPr>
                <w:rFonts w:ascii="宋体" w:eastAsia="宋体" w:hAnsi="宋体" w:cs="宋体" w:hint="eastAsia"/>
                <w:color w:val="000000"/>
                <w:kern w:val="0"/>
                <w:szCs w:val="21"/>
              </w:rPr>
              <w:t>。</w:t>
            </w:r>
          </w:p>
        </w:tc>
        <w:tc>
          <w:tcPr>
            <w:tcW w:w="970" w:type="dxa"/>
            <w:tcBorders>
              <w:top w:val="nil"/>
              <w:left w:val="nil"/>
              <w:bottom w:val="single" w:sz="8" w:space="0" w:color="auto"/>
              <w:right w:val="single" w:sz="8" w:space="0" w:color="auto"/>
            </w:tcBorders>
            <w:shd w:val="clear" w:color="auto" w:fill="auto"/>
            <w:vAlign w:val="center"/>
          </w:tcPr>
          <w:p w:rsidR="008832C0" w:rsidRPr="00AC3B58" w:rsidRDefault="00AC3B58">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sidR="00062EA2" w:rsidRPr="00AC3B58">
              <w:rPr>
                <w:rFonts w:ascii="宋体" w:eastAsia="宋体" w:hAnsi="宋体" w:cs="宋体" w:hint="eastAsia"/>
                <w:color w:val="000000"/>
                <w:kern w:val="0"/>
                <w:sz w:val="24"/>
                <w:szCs w:val="24"/>
              </w:rPr>
              <w:t>分</w:t>
            </w:r>
          </w:p>
        </w:tc>
      </w:tr>
      <w:tr w:rsidR="008832C0" w:rsidRPr="00AC3B58" w:rsidTr="003616E5">
        <w:trPr>
          <w:trHeight w:val="887"/>
        </w:trPr>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AC3B58" w:rsidP="00AC3B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eastAsia="宋体" w:hAnsi="宋体" w:cs="宋体"/>
                <w:color w:val="000000"/>
                <w:kern w:val="0"/>
                <w:szCs w:val="21"/>
              </w:rPr>
            </w:pPr>
            <w:r w:rsidRPr="003616E5">
              <w:rPr>
                <w:rFonts w:ascii="宋体" w:eastAsia="宋体" w:hAnsi="宋体" w:cs="Helvetica Neue" w:hint="eastAsia"/>
                <w:kern w:val="0"/>
                <w:szCs w:val="21"/>
              </w:rPr>
              <w:t>3、</w:t>
            </w:r>
            <w:r w:rsidR="00777910" w:rsidRPr="003616E5">
              <w:rPr>
                <w:rFonts w:ascii="宋体" w:eastAsia="宋体" w:hAnsi="宋体" w:cs="Helvetica Neue"/>
                <w:kern w:val="0"/>
                <w:szCs w:val="21"/>
              </w:rPr>
              <w:t>为保证厂商具有漏洞检测能力，要求所投</w:t>
            </w:r>
            <w:r w:rsidRPr="003616E5">
              <w:rPr>
                <w:rFonts w:ascii="宋体" w:eastAsia="宋体" w:hAnsi="宋体" w:cs="Helvetica Neue" w:hint="eastAsia"/>
                <w:kern w:val="0"/>
                <w:szCs w:val="21"/>
              </w:rPr>
              <w:t>防火墙</w:t>
            </w:r>
            <w:r w:rsidR="00777910" w:rsidRPr="003616E5">
              <w:rPr>
                <w:rFonts w:ascii="宋体" w:eastAsia="宋体" w:hAnsi="宋体" w:cs="Helvetica Neue"/>
                <w:kern w:val="0"/>
                <w:szCs w:val="21"/>
              </w:rPr>
              <w:t>厂商为国家信息安全漏洞共享平台的技术组或用户组成员单位，满足一个得</w:t>
            </w:r>
            <w:r w:rsidRPr="003616E5">
              <w:rPr>
                <w:rFonts w:ascii="宋体" w:eastAsia="宋体" w:hAnsi="宋体" w:cs="Helvetica Neue"/>
                <w:kern w:val="0"/>
                <w:szCs w:val="21"/>
              </w:rPr>
              <w:t>3</w:t>
            </w:r>
            <w:r w:rsidR="00777910" w:rsidRPr="003616E5">
              <w:rPr>
                <w:rFonts w:ascii="宋体" w:eastAsia="宋体" w:hAnsi="宋体" w:cs="Helvetica Neue"/>
                <w:kern w:val="0"/>
                <w:szCs w:val="21"/>
              </w:rPr>
              <w:t>分，全部满足得</w:t>
            </w:r>
            <w:r w:rsidRPr="003616E5">
              <w:rPr>
                <w:rFonts w:ascii="宋体" w:eastAsia="宋体" w:hAnsi="宋体" w:cs="Helvetica Neue"/>
                <w:kern w:val="0"/>
                <w:szCs w:val="21"/>
              </w:rPr>
              <w:t>6</w:t>
            </w:r>
            <w:r w:rsidR="00777910" w:rsidRPr="003616E5">
              <w:rPr>
                <w:rFonts w:ascii="宋体" w:eastAsia="宋体" w:hAnsi="宋体" w:cs="Helvetica Neue"/>
                <w:kern w:val="0"/>
                <w:szCs w:val="21"/>
              </w:rPr>
              <w:t>分，其余不得分。（提供相关证明材料并加盖投标人公章）</w:t>
            </w:r>
            <w:r w:rsidRPr="003616E5">
              <w:rPr>
                <w:rFonts w:ascii="宋体" w:eastAsia="宋体" w:hAnsi="宋体" w:cs="Helvetica Neue" w:hint="eastAsia"/>
                <w:kern w:val="0"/>
                <w:szCs w:val="21"/>
              </w:rPr>
              <w:t>。</w:t>
            </w:r>
          </w:p>
        </w:tc>
        <w:tc>
          <w:tcPr>
            <w:tcW w:w="970" w:type="dxa"/>
            <w:tcBorders>
              <w:top w:val="nil"/>
              <w:left w:val="nil"/>
              <w:bottom w:val="single" w:sz="8" w:space="0" w:color="auto"/>
              <w:right w:val="single" w:sz="8" w:space="0" w:color="auto"/>
            </w:tcBorders>
            <w:shd w:val="clear" w:color="auto" w:fill="auto"/>
            <w:vAlign w:val="center"/>
          </w:tcPr>
          <w:p w:rsidR="008832C0" w:rsidRPr="00AC3B58" w:rsidRDefault="00AC3B58">
            <w:pPr>
              <w:widowControl/>
              <w:rPr>
                <w:rFonts w:ascii="宋体" w:eastAsia="宋体" w:hAnsi="宋体" w:cs="宋体"/>
                <w:color w:val="000000"/>
                <w:kern w:val="0"/>
                <w:sz w:val="24"/>
                <w:szCs w:val="24"/>
              </w:rPr>
            </w:pPr>
            <w:r>
              <w:rPr>
                <w:rFonts w:ascii="宋体" w:eastAsia="宋体" w:hAnsi="宋体" w:cs="宋体"/>
                <w:color w:val="000000"/>
                <w:kern w:val="0"/>
                <w:sz w:val="24"/>
                <w:szCs w:val="24"/>
              </w:rPr>
              <w:t>6</w:t>
            </w:r>
            <w:r w:rsidR="00062EA2" w:rsidRPr="00AC3B58">
              <w:rPr>
                <w:rFonts w:ascii="宋体" w:eastAsia="宋体" w:hAnsi="宋体" w:cs="宋体" w:hint="eastAsia"/>
                <w:color w:val="000000"/>
                <w:kern w:val="0"/>
                <w:sz w:val="24"/>
                <w:szCs w:val="24"/>
              </w:rPr>
              <w:t>分</w:t>
            </w:r>
          </w:p>
        </w:tc>
      </w:tr>
      <w:tr w:rsidR="008832C0" w:rsidRPr="00AC3B58" w:rsidTr="003616E5">
        <w:trPr>
          <w:trHeight w:val="887"/>
        </w:trPr>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AC3B58" w:rsidP="00777910">
            <w:pPr>
              <w:widowControl/>
              <w:rPr>
                <w:rFonts w:ascii="宋体" w:eastAsia="宋体" w:hAnsi="宋体" w:cs="宋体"/>
                <w:color w:val="000000"/>
                <w:kern w:val="0"/>
                <w:szCs w:val="21"/>
              </w:rPr>
            </w:pPr>
            <w:r w:rsidRPr="003616E5">
              <w:rPr>
                <w:rFonts w:ascii="宋体" w:eastAsia="宋体" w:hAnsi="宋体" w:cs="宋体"/>
                <w:color w:val="000000"/>
                <w:kern w:val="0"/>
                <w:szCs w:val="21"/>
              </w:rPr>
              <w:t>4</w:t>
            </w:r>
            <w:r w:rsidR="00777910" w:rsidRPr="003616E5">
              <w:rPr>
                <w:rFonts w:ascii="宋体" w:eastAsia="宋体" w:hAnsi="宋体" w:cs="宋体"/>
                <w:color w:val="000000"/>
                <w:kern w:val="0"/>
                <w:szCs w:val="21"/>
              </w:rPr>
              <w:t>、为确保生产厂商软件安全开发实力，</w:t>
            </w:r>
            <w:r w:rsidRPr="003616E5">
              <w:rPr>
                <w:rFonts w:ascii="宋体" w:eastAsia="宋体" w:hAnsi="宋体" w:cs="宋体" w:hint="eastAsia"/>
                <w:color w:val="000000"/>
                <w:kern w:val="0"/>
                <w:szCs w:val="21"/>
              </w:rPr>
              <w:t>防火墙</w:t>
            </w:r>
            <w:r w:rsidR="00777910" w:rsidRPr="003616E5">
              <w:rPr>
                <w:rFonts w:ascii="宋体" w:eastAsia="宋体" w:hAnsi="宋体" w:cs="宋体"/>
                <w:color w:val="000000"/>
                <w:kern w:val="0"/>
                <w:szCs w:val="21"/>
              </w:rPr>
              <w:t>软件厂商需具备中国网络安全审查技术与认证中心颁发的软件安全开发服务资质，一级证书得</w:t>
            </w:r>
            <w:r w:rsidRPr="003616E5">
              <w:rPr>
                <w:rFonts w:ascii="宋体" w:eastAsia="宋体" w:hAnsi="宋体" w:cs="宋体"/>
                <w:color w:val="000000"/>
                <w:kern w:val="0"/>
                <w:szCs w:val="21"/>
              </w:rPr>
              <w:t>6</w:t>
            </w:r>
            <w:r w:rsidR="00777910" w:rsidRPr="003616E5">
              <w:rPr>
                <w:rFonts w:ascii="宋体" w:eastAsia="宋体" w:hAnsi="宋体" w:cs="宋体"/>
                <w:color w:val="000000"/>
                <w:kern w:val="0"/>
                <w:szCs w:val="21"/>
              </w:rPr>
              <w:t>分，获得二级证书得</w:t>
            </w:r>
            <w:r w:rsidRPr="003616E5">
              <w:rPr>
                <w:rFonts w:ascii="宋体" w:eastAsia="宋体" w:hAnsi="宋体" w:cs="宋体"/>
                <w:color w:val="000000"/>
                <w:kern w:val="0"/>
                <w:szCs w:val="21"/>
              </w:rPr>
              <w:t>3</w:t>
            </w:r>
            <w:r w:rsidR="00777910" w:rsidRPr="003616E5">
              <w:rPr>
                <w:rFonts w:ascii="宋体" w:eastAsia="宋体" w:hAnsi="宋体" w:cs="宋体"/>
                <w:color w:val="000000"/>
                <w:kern w:val="0"/>
                <w:szCs w:val="21"/>
              </w:rPr>
              <w:t>分，获得三级证书得1分，其余不得分。（提供相关证明材料并加盖投标人公章）</w:t>
            </w:r>
            <w:r w:rsidRPr="003616E5">
              <w:rPr>
                <w:rFonts w:ascii="宋体" w:eastAsia="宋体" w:hAnsi="宋体" w:cs="宋体" w:hint="eastAsia"/>
                <w:color w:val="000000"/>
                <w:kern w:val="0"/>
                <w:szCs w:val="21"/>
              </w:rPr>
              <w:t>。</w:t>
            </w:r>
          </w:p>
        </w:tc>
        <w:tc>
          <w:tcPr>
            <w:tcW w:w="970" w:type="dxa"/>
            <w:tcBorders>
              <w:top w:val="nil"/>
              <w:left w:val="nil"/>
              <w:bottom w:val="single" w:sz="8" w:space="0" w:color="auto"/>
              <w:right w:val="single" w:sz="8" w:space="0" w:color="auto"/>
            </w:tcBorders>
            <w:shd w:val="clear" w:color="auto" w:fill="auto"/>
            <w:vAlign w:val="center"/>
          </w:tcPr>
          <w:p w:rsidR="008832C0" w:rsidRPr="00AC3B58" w:rsidRDefault="00AC3B58">
            <w:pPr>
              <w:widowControl/>
              <w:rPr>
                <w:rFonts w:ascii="宋体" w:eastAsia="宋体" w:hAnsi="宋体" w:cs="宋体"/>
                <w:color w:val="000000"/>
                <w:kern w:val="0"/>
                <w:sz w:val="24"/>
                <w:szCs w:val="24"/>
              </w:rPr>
            </w:pPr>
            <w:r>
              <w:rPr>
                <w:rFonts w:ascii="宋体" w:eastAsia="宋体" w:hAnsi="宋体" w:cs="宋体"/>
                <w:color w:val="000000"/>
                <w:kern w:val="0"/>
                <w:sz w:val="24"/>
                <w:szCs w:val="24"/>
              </w:rPr>
              <w:t>6</w:t>
            </w:r>
            <w:r w:rsidR="00062EA2" w:rsidRPr="00AC3B58">
              <w:rPr>
                <w:rFonts w:ascii="宋体" w:eastAsia="宋体" w:hAnsi="宋体" w:cs="宋体" w:hint="eastAsia"/>
                <w:color w:val="000000"/>
                <w:kern w:val="0"/>
                <w:sz w:val="24"/>
                <w:szCs w:val="24"/>
              </w:rPr>
              <w:t>分</w:t>
            </w:r>
          </w:p>
        </w:tc>
      </w:tr>
      <w:tr w:rsidR="008832C0" w:rsidRPr="00AC3B58" w:rsidTr="003616E5">
        <w:trPr>
          <w:trHeight w:val="887"/>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3</w:t>
            </w:r>
          </w:p>
        </w:tc>
        <w:tc>
          <w:tcPr>
            <w:tcW w:w="0" w:type="auto"/>
            <w:tcBorders>
              <w:top w:val="nil"/>
              <w:left w:val="nil"/>
              <w:bottom w:val="single" w:sz="8" w:space="0" w:color="auto"/>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实施方案(</w:t>
            </w:r>
            <w:r w:rsidR="00AC3B58">
              <w:rPr>
                <w:rFonts w:ascii="宋体" w:eastAsia="宋体" w:hAnsi="宋体" w:cs="宋体"/>
                <w:color w:val="000000"/>
                <w:kern w:val="0"/>
                <w:sz w:val="24"/>
                <w:szCs w:val="24"/>
              </w:rPr>
              <w:t>8</w:t>
            </w:r>
            <w:r w:rsidRPr="00AC3B58">
              <w:rPr>
                <w:rFonts w:ascii="宋体" w:eastAsia="宋体" w:hAnsi="宋体" w:cs="宋体" w:hint="eastAsia"/>
                <w:color w:val="000000"/>
                <w:kern w:val="0"/>
                <w:sz w:val="24"/>
                <w:szCs w:val="24"/>
              </w:rPr>
              <w:t>分)</w:t>
            </w: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062EA2">
            <w:pPr>
              <w:widowControl/>
              <w:rPr>
                <w:rFonts w:ascii="宋体" w:eastAsia="宋体" w:hAnsi="宋体" w:cs="宋体"/>
                <w:color w:val="000000"/>
                <w:kern w:val="0"/>
                <w:szCs w:val="21"/>
              </w:rPr>
            </w:pPr>
            <w:r w:rsidRPr="003616E5">
              <w:rPr>
                <w:rFonts w:ascii="宋体" w:eastAsia="宋体" w:hAnsi="宋体" w:cs="宋体" w:hint="eastAsia"/>
                <w:color w:val="000000"/>
                <w:kern w:val="0"/>
                <w:szCs w:val="21"/>
              </w:rPr>
              <w:t>1、对投标人项目实施方案中的（质量控制、进度安排、验收方案）三个要素进行评分。方案要素齐备，内容详实且合理可行得</w:t>
            </w:r>
            <w:r w:rsidR="00AC3B58" w:rsidRPr="003616E5">
              <w:rPr>
                <w:rFonts w:ascii="宋体" w:eastAsia="宋体" w:hAnsi="宋体" w:cs="宋体"/>
                <w:color w:val="000000"/>
                <w:kern w:val="0"/>
                <w:szCs w:val="21"/>
              </w:rPr>
              <w:t>8</w:t>
            </w:r>
            <w:r w:rsidRPr="003616E5">
              <w:rPr>
                <w:rFonts w:ascii="宋体" w:eastAsia="宋体" w:hAnsi="宋体" w:cs="宋体" w:hint="eastAsia"/>
                <w:color w:val="000000"/>
                <w:kern w:val="0"/>
                <w:szCs w:val="21"/>
              </w:rPr>
              <w:t>分。如方案中出现要素缺乏，得</w:t>
            </w:r>
            <w:r w:rsidR="00AC3B58" w:rsidRPr="003616E5">
              <w:rPr>
                <w:rFonts w:ascii="宋体" w:eastAsia="宋体" w:hAnsi="宋体" w:cs="宋体"/>
                <w:color w:val="000000"/>
                <w:kern w:val="0"/>
                <w:szCs w:val="21"/>
              </w:rPr>
              <w:t>4</w:t>
            </w:r>
            <w:r w:rsidRPr="003616E5">
              <w:rPr>
                <w:rFonts w:ascii="宋体" w:eastAsia="宋体" w:hAnsi="宋体" w:cs="宋体" w:hint="eastAsia"/>
                <w:color w:val="000000"/>
                <w:kern w:val="0"/>
                <w:szCs w:val="21"/>
              </w:rPr>
              <w:t xml:space="preserve">分。出现内容不具体，有明显错误等问题，该方案不得分。 </w:t>
            </w:r>
          </w:p>
        </w:tc>
        <w:tc>
          <w:tcPr>
            <w:tcW w:w="970" w:type="dxa"/>
            <w:tcBorders>
              <w:top w:val="nil"/>
              <w:left w:val="nil"/>
              <w:bottom w:val="single" w:sz="8" w:space="0" w:color="auto"/>
              <w:right w:val="single" w:sz="8" w:space="0" w:color="auto"/>
            </w:tcBorders>
            <w:shd w:val="clear" w:color="auto" w:fill="auto"/>
            <w:vAlign w:val="center"/>
          </w:tcPr>
          <w:p w:rsidR="008832C0" w:rsidRPr="00AC3B58" w:rsidRDefault="00AC3B58">
            <w:pPr>
              <w:widowControl/>
              <w:rPr>
                <w:rFonts w:ascii="宋体" w:eastAsia="宋体" w:hAnsi="宋体" w:cs="宋体"/>
                <w:color w:val="000000"/>
                <w:kern w:val="0"/>
                <w:sz w:val="24"/>
                <w:szCs w:val="24"/>
              </w:rPr>
            </w:pPr>
            <w:r>
              <w:rPr>
                <w:rFonts w:ascii="宋体" w:eastAsia="宋体" w:hAnsi="宋体" w:cs="宋体"/>
                <w:color w:val="000000"/>
                <w:kern w:val="0"/>
                <w:sz w:val="24"/>
                <w:szCs w:val="24"/>
              </w:rPr>
              <w:t>8</w:t>
            </w:r>
            <w:r w:rsidR="00062EA2" w:rsidRPr="00AC3B58">
              <w:rPr>
                <w:rFonts w:ascii="宋体" w:eastAsia="宋体" w:hAnsi="宋体" w:cs="宋体" w:hint="eastAsia"/>
                <w:color w:val="000000"/>
                <w:kern w:val="0"/>
                <w:sz w:val="24"/>
                <w:szCs w:val="24"/>
              </w:rPr>
              <w:t>分</w:t>
            </w:r>
          </w:p>
        </w:tc>
      </w:tr>
      <w:tr w:rsidR="008832C0" w:rsidRPr="00AC3B58" w:rsidTr="003616E5">
        <w:trPr>
          <w:trHeight w:val="50"/>
        </w:trPr>
        <w:tc>
          <w:tcPr>
            <w:tcW w:w="0" w:type="auto"/>
            <w:vMerge/>
            <w:tcBorders>
              <w:top w:val="nil"/>
              <w:left w:val="single" w:sz="8" w:space="0" w:color="auto"/>
              <w:bottom w:val="single" w:sz="8" w:space="0" w:color="000000"/>
              <w:right w:val="single" w:sz="8" w:space="0" w:color="auto"/>
            </w:tcBorders>
            <w:vAlign w:val="center"/>
          </w:tcPr>
          <w:p w:rsidR="008832C0" w:rsidRPr="00AC3B58" w:rsidRDefault="008832C0">
            <w:pPr>
              <w:widowControl/>
              <w:jc w:val="left"/>
              <w:rPr>
                <w:rFonts w:ascii="宋体" w:eastAsia="宋体" w:hAnsi="宋体" w:cs="宋体"/>
                <w:color w:val="000000"/>
                <w:kern w:val="0"/>
                <w:sz w:val="24"/>
                <w:szCs w:val="24"/>
              </w:rPr>
            </w:pPr>
          </w:p>
        </w:tc>
        <w:tc>
          <w:tcPr>
            <w:tcW w:w="0" w:type="auto"/>
            <w:tcBorders>
              <w:top w:val="nil"/>
              <w:left w:val="nil"/>
              <w:bottom w:val="single" w:sz="8" w:space="0" w:color="auto"/>
              <w:right w:val="single" w:sz="8" w:space="0" w:color="auto"/>
            </w:tcBorders>
            <w:shd w:val="clear" w:color="auto" w:fill="auto"/>
            <w:vAlign w:val="center"/>
          </w:tcPr>
          <w:p w:rsidR="008832C0" w:rsidRPr="00AC3B58" w:rsidRDefault="00062EA2">
            <w:pPr>
              <w:widowControl/>
              <w:rPr>
                <w:rFonts w:ascii="宋体" w:eastAsia="宋体" w:hAnsi="宋体" w:cs="宋体"/>
                <w:color w:val="000000"/>
                <w:kern w:val="0"/>
                <w:sz w:val="24"/>
                <w:szCs w:val="24"/>
              </w:rPr>
            </w:pPr>
            <w:r w:rsidRPr="00AC3B58">
              <w:rPr>
                <w:rFonts w:ascii="宋体" w:eastAsia="宋体" w:hAnsi="宋体" w:cs="宋体" w:hint="eastAsia"/>
                <w:color w:val="000000"/>
                <w:kern w:val="0"/>
                <w:sz w:val="24"/>
                <w:szCs w:val="24"/>
              </w:rPr>
              <w:t>技术培训和售后服务（</w:t>
            </w:r>
            <w:r w:rsidR="0076073C">
              <w:rPr>
                <w:rFonts w:ascii="宋体" w:eastAsia="宋体" w:hAnsi="宋体" w:cs="宋体"/>
                <w:color w:val="000000"/>
                <w:kern w:val="0"/>
                <w:sz w:val="24"/>
                <w:szCs w:val="24"/>
              </w:rPr>
              <w:t>10</w:t>
            </w:r>
            <w:r w:rsidRPr="00AC3B58">
              <w:rPr>
                <w:rFonts w:ascii="宋体" w:eastAsia="宋体" w:hAnsi="宋体" w:cs="宋体" w:hint="eastAsia"/>
                <w:color w:val="000000"/>
                <w:kern w:val="0"/>
                <w:sz w:val="24"/>
                <w:szCs w:val="24"/>
              </w:rPr>
              <w:t>分）</w:t>
            </w:r>
          </w:p>
        </w:tc>
        <w:tc>
          <w:tcPr>
            <w:tcW w:w="0" w:type="auto"/>
            <w:tcBorders>
              <w:top w:val="nil"/>
              <w:left w:val="nil"/>
              <w:bottom w:val="single" w:sz="8" w:space="0" w:color="auto"/>
              <w:right w:val="single" w:sz="8" w:space="0" w:color="auto"/>
            </w:tcBorders>
            <w:shd w:val="clear" w:color="auto" w:fill="auto"/>
            <w:vAlign w:val="center"/>
          </w:tcPr>
          <w:p w:rsidR="008832C0" w:rsidRPr="003616E5" w:rsidRDefault="00062EA2">
            <w:pPr>
              <w:widowControl/>
              <w:rPr>
                <w:rFonts w:ascii="宋体" w:eastAsia="宋体" w:hAnsi="宋体" w:cs="宋体"/>
                <w:color w:val="000000"/>
                <w:kern w:val="0"/>
                <w:szCs w:val="21"/>
              </w:rPr>
            </w:pPr>
            <w:r w:rsidRPr="003616E5">
              <w:rPr>
                <w:rFonts w:ascii="宋体" w:eastAsia="宋体" w:hAnsi="宋体" w:cs="宋体" w:hint="eastAsia"/>
                <w:color w:val="000000"/>
                <w:kern w:val="0"/>
                <w:szCs w:val="21"/>
              </w:rPr>
              <w:t>投标人提供完善的售后服务方案（内容包括投标人提供免费售后服务呼叫中心、响应时间、现场服务支持能力、售后巡检等），对项目售后服务内容的合理性、全面性进行综合比较评分：内容详实且合理可行得</w:t>
            </w:r>
            <w:r w:rsidR="0076073C" w:rsidRPr="003616E5">
              <w:rPr>
                <w:rFonts w:ascii="宋体" w:eastAsia="宋体" w:hAnsi="宋体" w:cs="宋体"/>
                <w:color w:val="000000"/>
                <w:kern w:val="0"/>
                <w:szCs w:val="21"/>
              </w:rPr>
              <w:t>10</w:t>
            </w:r>
            <w:r w:rsidRPr="003616E5">
              <w:rPr>
                <w:rFonts w:ascii="宋体" w:eastAsia="宋体" w:hAnsi="宋体" w:cs="宋体" w:hint="eastAsia"/>
                <w:color w:val="000000"/>
                <w:kern w:val="0"/>
                <w:szCs w:val="21"/>
              </w:rPr>
              <w:t>分，内容详实但可行性一般得</w:t>
            </w:r>
            <w:r w:rsidR="0076073C" w:rsidRPr="003616E5">
              <w:rPr>
                <w:rFonts w:ascii="宋体" w:eastAsia="宋体" w:hAnsi="宋体" w:cs="宋体" w:hint="eastAsia"/>
                <w:color w:val="000000"/>
                <w:kern w:val="0"/>
                <w:szCs w:val="21"/>
              </w:rPr>
              <w:t>7</w:t>
            </w:r>
            <w:r w:rsidRPr="003616E5">
              <w:rPr>
                <w:rFonts w:ascii="宋体" w:eastAsia="宋体" w:hAnsi="宋体" w:cs="宋体" w:hint="eastAsia"/>
                <w:color w:val="000000"/>
                <w:kern w:val="0"/>
                <w:szCs w:val="21"/>
              </w:rPr>
              <w:t>分，内容不详实得</w:t>
            </w:r>
            <w:r w:rsidR="00AC3B58" w:rsidRPr="003616E5">
              <w:rPr>
                <w:rFonts w:ascii="宋体" w:eastAsia="宋体" w:hAnsi="宋体" w:cs="宋体"/>
                <w:color w:val="000000"/>
                <w:kern w:val="0"/>
                <w:szCs w:val="21"/>
              </w:rPr>
              <w:t>3</w:t>
            </w:r>
            <w:r w:rsidRPr="003616E5">
              <w:rPr>
                <w:rFonts w:ascii="宋体" w:eastAsia="宋体" w:hAnsi="宋体" w:cs="宋体" w:hint="eastAsia"/>
                <w:color w:val="000000"/>
                <w:kern w:val="0"/>
                <w:szCs w:val="21"/>
              </w:rPr>
              <w:t>分，售后服务方案未提供或提供不全的不得分，名次可并列。</w:t>
            </w:r>
          </w:p>
        </w:tc>
        <w:tc>
          <w:tcPr>
            <w:tcW w:w="970" w:type="dxa"/>
            <w:tcBorders>
              <w:top w:val="nil"/>
              <w:left w:val="nil"/>
              <w:bottom w:val="single" w:sz="8" w:space="0" w:color="auto"/>
              <w:right w:val="single" w:sz="8" w:space="0" w:color="auto"/>
            </w:tcBorders>
            <w:shd w:val="clear" w:color="auto" w:fill="auto"/>
            <w:vAlign w:val="center"/>
          </w:tcPr>
          <w:p w:rsidR="008832C0" w:rsidRPr="00AC3B58" w:rsidRDefault="0076073C">
            <w:pPr>
              <w:widowControl/>
              <w:rPr>
                <w:rFonts w:ascii="宋体" w:eastAsia="宋体" w:hAnsi="宋体" w:cs="宋体"/>
                <w:color w:val="000000"/>
                <w:kern w:val="0"/>
                <w:sz w:val="24"/>
                <w:szCs w:val="24"/>
              </w:rPr>
            </w:pPr>
            <w:r>
              <w:rPr>
                <w:rFonts w:ascii="宋体" w:eastAsia="宋体" w:hAnsi="宋体" w:cs="宋体"/>
                <w:color w:val="000000"/>
                <w:kern w:val="0"/>
                <w:sz w:val="24"/>
                <w:szCs w:val="24"/>
              </w:rPr>
              <w:t>1</w:t>
            </w:r>
            <w:bookmarkStart w:id="0" w:name="_GoBack"/>
            <w:bookmarkEnd w:id="0"/>
            <w:r>
              <w:rPr>
                <w:rFonts w:ascii="宋体" w:eastAsia="宋体" w:hAnsi="宋体" w:cs="宋体"/>
                <w:color w:val="000000"/>
                <w:kern w:val="0"/>
                <w:sz w:val="24"/>
                <w:szCs w:val="24"/>
              </w:rPr>
              <w:t>0</w:t>
            </w:r>
            <w:r w:rsidR="00062EA2" w:rsidRPr="00AC3B58">
              <w:rPr>
                <w:rFonts w:ascii="宋体" w:eastAsia="宋体" w:hAnsi="宋体" w:cs="宋体" w:hint="eastAsia"/>
                <w:color w:val="000000"/>
                <w:kern w:val="0"/>
                <w:sz w:val="24"/>
                <w:szCs w:val="24"/>
              </w:rPr>
              <w:t>分</w:t>
            </w:r>
          </w:p>
        </w:tc>
      </w:tr>
    </w:tbl>
    <w:p w:rsidR="008832C0" w:rsidRDefault="008832C0" w:rsidP="002B3354">
      <w:pPr>
        <w:rPr>
          <w:rFonts w:ascii="宋体" w:eastAsia="宋体" w:hAnsi="宋体" w:hint="eastAsia"/>
          <w:b/>
          <w:bCs/>
          <w:sz w:val="32"/>
          <w:szCs w:val="32"/>
        </w:rPr>
      </w:pPr>
    </w:p>
    <w:sectPr w:rsidR="008832C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1E" w:rsidRDefault="0014671E" w:rsidP="007A2DE0">
      <w:pPr>
        <w:rPr>
          <w:rFonts w:hint="eastAsia"/>
        </w:rPr>
      </w:pPr>
      <w:r>
        <w:separator/>
      </w:r>
    </w:p>
  </w:endnote>
  <w:endnote w:type="continuationSeparator" w:id="0">
    <w:p w:rsidR="0014671E" w:rsidRDefault="0014671E" w:rsidP="007A2D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1E" w:rsidRDefault="0014671E" w:rsidP="007A2DE0">
      <w:pPr>
        <w:rPr>
          <w:rFonts w:hint="eastAsia"/>
        </w:rPr>
      </w:pPr>
      <w:r>
        <w:separator/>
      </w:r>
    </w:p>
  </w:footnote>
  <w:footnote w:type="continuationSeparator" w:id="0">
    <w:p w:rsidR="0014671E" w:rsidRDefault="0014671E" w:rsidP="007A2DE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wM2VhOGJkY2U3N2EzOGY5OTc3OGQ5YWU1N2FmNWYifQ=="/>
  </w:docVars>
  <w:rsids>
    <w:rsidRoot w:val="002B7955"/>
    <w:rsid w:val="00025E68"/>
    <w:rsid w:val="00062EA2"/>
    <w:rsid w:val="00072FE2"/>
    <w:rsid w:val="000F012B"/>
    <w:rsid w:val="00106BB9"/>
    <w:rsid w:val="0014671E"/>
    <w:rsid w:val="00171E81"/>
    <w:rsid w:val="001C14DF"/>
    <w:rsid w:val="0024304F"/>
    <w:rsid w:val="00251C35"/>
    <w:rsid w:val="002A744D"/>
    <w:rsid w:val="002B3354"/>
    <w:rsid w:val="002B7955"/>
    <w:rsid w:val="00330653"/>
    <w:rsid w:val="00346777"/>
    <w:rsid w:val="00353DC9"/>
    <w:rsid w:val="003616E5"/>
    <w:rsid w:val="00395907"/>
    <w:rsid w:val="003D3F92"/>
    <w:rsid w:val="003E416E"/>
    <w:rsid w:val="004162D5"/>
    <w:rsid w:val="00456E18"/>
    <w:rsid w:val="0046447B"/>
    <w:rsid w:val="004707C8"/>
    <w:rsid w:val="00475E77"/>
    <w:rsid w:val="004922A8"/>
    <w:rsid w:val="004F0B74"/>
    <w:rsid w:val="004F3CD8"/>
    <w:rsid w:val="00504988"/>
    <w:rsid w:val="00523F16"/>
    <w:rsid w:val="00581D36"/>
    <w:rsid w:val="0058448F"/>
    <w:rsid w:val="00605F0B"/>
    <w:rsid w:val="00612698"/>
    <w:rsid w:val="00634D29"/>
    <w:rsid w:val="00637ECF"/>
    <w:rsid w:val="006B4A92"/>
    <w:rsid w:val="006C3E01"/>
    <w:rsid w:val="007258C5"/>
    <w:rsid w:val="0076073C"/>
    <w:rsid w:val="007718EE"/>
    <w:rsid w:val="00776CD0"/>
    <w:rsid w:val="00777910"/>
    <w:rsid w:val="007A2DE0"/>
    <w:rsid w:val="007A6DF0"/>
    <w:rsid w:val="007B1D5C"/>
    <w:rsid w:val="007D42F5"/>
    <w:rsid w:val="008832C0"/>
    <w:rsid w:val="008C21C6"/>
    <w:rsid w:val="008D0544"/>
    <w:rsid w:val="008E3B75"/>
    <w:rsid w:val="00944FAB"/>
    <w:rsid w:val="009661D7"/>
    <w:rsid w:val="00984500"/>
    <w:rsid w:val="009A5283"/>
    <w:rsid w:val="009A6204"/>
    <w:rsid w:val="009C7D86"/>
    <w:rsid w:val="009F5C2A"/>
    <w:rsid w:val="00A02A5C"/>
    <w:rsid w:val="00A0376A"/>
    <w:rsid w:val="00A43D33"/>
    <w:rsid w:val="00A73F38"/>
    <w:rsid w:val="00AA5EF3"/>
    <w:rsid w:val="00AC3B58"/>
    <w:rsid w:val="00AE26ED"/>
    <w:rsid w:val="00AE2D82"/>
    <w:rsid w:val="00B45E01"/>
    <w:rsid w:val="00B62D15"/>
    <w:rsid w:val="00BE6435"/>
    <w:rsid w:val="00C14E45"/>
    <w:rsid w:val="00C24077"/>
    <w:rsid w:val="00C4204B"/>
    <w:rsid w:val="00C769C5"/>
    <w:rsid w:val="00C83083"/>
    <w:rsid w:val="00CA2611"/>
    <w:rsid w:val="00CA7F3D"/>
    <w:rsid w:val="00CB744B"/>
    <w:rsid w:val="00D41E98"/>
    <w:rsid w:val="00D42097"/>
    <w:rsid w:val="00D82F06"/>
    <w:rsid w:val="00DC317B"/>
    <w:rsid w:val="00DC3B58"/>
    <w:rsid w:val="00DE0971"/>
    <w:rsid w:val="00DF2631"/>
    <w:rsid w:val="00E13F2C"/>
    <w:rsid w:val="00E22B3D"/>
    <w:rsid w:val="00E40DC2"/>
    <w:rsid w:val="00E7104C"/>
    <w:rsid w:val="00E95721"/>
    <w:rsid w:val="00EA2347"/>
    <w:rsid w:val="00F52941"/>
    <w:rsid w:val="00F55F33"/>
    <w:rsid w:val="00F623DA"/>
    <w:rsid w:val="00F723AF"/>
    <w:rsid w:val="00F7685D"/>
    <w:rsid w:val="00F83EAF"/>
    <w:rsid w:val="178C7AB4"/>
    <w:rsid w:val="218A7B2C"/>
    <w:rsid w:val="30922E7F"/>
    <w:rsid w:val="370B333D"/>
    <w:rsid w:val="3ABF2CD4"/>
    <w:rsid w:val="6A294DC3"/>
    <w:rsid w:val="74C3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A19AF-A325-8C47-B8F5-410DD53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Calibri" w:eastAsia="宋体" w:hAnsi="Calibri" w:cs="Times New Roman"/>
      <w:szCs w:val="24"/>
    </w:rPr>
  </w:style>
  <w:style w:type="paragraph" w:styleId="a4">
    <w:name w:val="Balloon Text"/>
    <w:basedOn w:val="a"/>
    <w:link w:val="Char0"/>
    <w:uiPriority w:val="99"/>
    <w:semiHidden/>
    <w:unhideWhenUsed/>
    <w:rPr>
      <w:rFonts w:ascii="宋体"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rPr>
      <w:rFonts w:ascii="Calibri" w:eastAsia="宋体" w:hAnsi="Calibri" w:cs="Times New Roman"/>
      <w:szCs w:val="24"/>
    </w:rPr>
  </w:style>
  <w:style w:type="character" w:customStyle="1" w:styleId="Char0">
    <w:name w:val="批注框文本 Char"/>
    <w:basedOn w:val="a0"/>
    <w:link w:val="a4"/>
    <w:uiPriority w:val="99"/>
    <w:semiHidden/>
    <w:rPr>
      <w:rFonts w:ascii="宋体" w:eastAsia="宋体"/>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5FF3-8E5B-4A25-9F5B-4AC7D417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12</cp:revision>
  <dcterms:created xsi:type="dcterms:W3CDTF">2023-05-05T14:15:00Z</dcterms:created>
  <dcterms:modified xsi:type="dcterms:W3CDTF">2023-05-15T02:28:00Z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8FEABE9E52E74D828222C6C49ABFDEED_13</vt:lpwstr>
  </property>
</Properties>
</file>